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0" w:firstLineChars="200"/>
        <w:jc w:val="center"/>
        <w:rPr>
          <w:rFonts w:ascii="仿宋_GB2312" w:hAnsi="仿宋" w:eastAsia="仿宋_GB2312"/>
          <w:sz w:val="36"/>
          <w:szCs w:val="36"/>
          <w:highlight w:val="none"/>
        </w:rPr>
      </w:pPr>
      <w:bookmarkStart w:id="0" w:name="_GoBack"/>
    </w:p>
    <w:p>
      <w:pPr>
        <w:spacing w:line="560" w:lineRule="exact"/>
        <w:ind w:firstLine="880" w:firstLineChars="200"/>
        <w:jc w:val="center"/>
        <w:rPr>
          <w:rFonts w:ascii="黑体" w:hAnsi="黑体" w:eastAsia="黑体"/>
          <w:color w:val="FF0000"/>
          <w:sz w:val="44"/>
          <w:szCs w:val="44"/>
          <w:highlight w:val="none"/>
        </w:rPr>
      </w:pPr>
      <w:r>
        <w:rPr>
          <w:rFonts w:hint="eastAsia" w:ascii="黑体" w:hAnsi="黑体" w:eastAsia="黑体"/>
          <w:sz w:val="44"/>
          <w:szCs w:val="44"/>
          <w:highlight w:val="none"/>
        </w:rPr>
        <w:t>霸州市农业局2017年度部门决算信息公开情况说明</w:t>
      </w:r>
    </w:p>
    <w:p>
      <w:pPr>
        <w:widowControl/>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按照《预算法》、《河北省财政厅关于印发&lt;河北省预决算公开操作规程实施细则&gt;的通知》（冀财预</w:t>
      </w:r>
      <w:r>
        <w:rPr>
          <w:rFonts w:hint="eastAsia" w:ascii="宋体" w:hAnsi="宋体" w:cs="宋体"/>
          <w:sz w:val="32"/>
          <w:szCs w:val="32"/>
          <w:highlight w:val="none"/>
        </w:rPr>
        <w:t>﹝</w:t>
      </w:r>
      <w:r>
        <w:rPr>
          <w:rFonts w:hint="eastAsia" w:ascii="仿宋_GB2312" w:hAnsi="仿宋" w:eastAsia="仿宋_GB2312"/>
          <w:sz w:val="32"/>
          <w:szCs w:val="32"/>
          <w:highlight w:val="none"/>
        </w:rPr>
        <w:t>2016</w:t>
      </w:r>
      <w:r>
        <w:rPr>
          <w:rFonts w:hint="eastAsia" w:ascii="宋体" w:hAnsi="宋体" w:cs="宋体"/>
          <w:sz w:val="32"/>
          <w:szCs w:val="32"/>
          <w:highlight w:val="none"/>
        </w:rPr>
        <w:t>﹞</w:t>
      </w:r>
      <w:r>
        <w:rPr>
          <w:rFonts w:hint="eastAsia" w:ascii="仿宋_GB2312" w:hAnsi="仿宋" w:eastAsia="仿宋_GB2312"/>
          <w:sz w:val="32"/>
          <w:szCs w:val="32"/>
          <w:highlight w:val="none"/>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部门职责及机构设置情况</w:t>
      </w:r>
    </w:p>
    <w:p>
      <w:pPr>
        <w:widowControl/>
        <w:spacing w:line="56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仿宋" w:hAnsi="仿宋" w:eastAsia="仿宋"/>
          <w:sz w:val="32"/>
          <w:szCs w:val="32"/>
          <w:highlight w:val="none"/>
        </w:rPr>
      </w:pPr>
      <w:r>
        <w:rPr>
          <w:rFonts w:hint="eastAsia" w:ascii="仿宋" w:hAnsi="仿宋" w:eastAsia="仿宋"/>
          <w:sz w:val="32"/>
          <w:szCs w:val="32"/>
          <w:highlight w:val="none"/>
        </w:rPr>
        <w:t xml:space="preserve">    研究拟定农业和农村经济发展战略、中长期发展规划，经批准后组织实施。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拟定农业产业政策，引导农业产业结构合理调整，农业资源合理配置和农业产品品质的改善；提出有关农产品及农业生产资料价格，大宗农产品流通、农村信贷、税收及农业财政补贴政策建议；组织对农业法律法规执行情况的监督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提出深化农村经济体制改革意见；指导农业社会化服务体系建设和乡村集体经济组织、合作经济组织建设；稳定和完善农村基本经营制度、政策，调节农村经济利益关系，指导、监督减轻农民负担和耕地使用权流转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提出农业产业化经营方针政策，大宗农产品产地批发市场体系建设与发展规划，促进农业产前、产中、产后一体化；组织协调“菜篮子工程”和农业生产资料市场体系建设；研究提出主管产业重要产品、重要农业生产资料进出口建议；预测并发布农业各产业产品及农业生产资料供求情况和农村经济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组织生态农业和农业可持续发展工作；指导农用地、农村可再生能源开发利用和农业生物物种资源保护与管理。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拟定农业科技、农民教育培训、技术推广及其队伍建设的发展规划和有关政策，综合协调管理农科教结合工作，实施科教兴农战略；组织技术推广项目的遴选及实施；指导农民教育培训和农业职业技能开发工作。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拟定主管产业技术标准并组织实施；组织实施主管产业产品、绿色食品的质量监督、监测、认证和农业植物新品种保护工作；组织协调种子、农药等农业投入品质量检测、鉴定和执法监督管理；组织国内生产及进口种子、农药、有关肥料等产品的登记；负责农业机械化和农机安全监理及产品质量检验、鉴定和认证工作；组织监督市内植物防疫、检疫工作，发布疫情并组织扑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负责农业涉外事务；组织农业对外经济技术交流与合作。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负责机关及所属事业单位人事、劳动工资、机构编制工作；党群工作；纪检（监察工作）。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按照市政府有关规定，管理霸州市新能源办公室。同时管理霸州市农业广播学校。</w:t>
      </w:r>
    </w:p>
    <w:p>
      <w:pPr>
        <w:widowControl/>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承办市政府交办的其他事项。</w:t>
      </w:r>
    </w:p>
    <w:p>
      <w:pPr>
        <w:widowControl/>
        <w:spacing w:line="560" w:lineRule="exact"/>
        <w:ind w:firstLine="562" w:firstLineChars="200"/>
        <w:rPr>
          <w:rFonts w:ascii="黑体" w:hAnsi="黑体" w:eastAsia="黑体" w:cs="黑体"/>
          <w:sz w:val="28"/>
          <w:szCs w:val="28"/>
          <w:highlight w:val="none"/>
        </w:rPr>
      </w:pPr>
      <w:r>
        <w:rPr>
          <w:rFonts w:hint="eastAsia" w:ascii="黑体" w:hAnsi="黑体" w:eastAsia="黑体" w:cs="楷体"/>
          <w:b/>
          <w:bCs/>
          <w:sz w:val="28"/>
          <w:szCs w:val="28"/>
          <w:highlight w:val="none"/>
        </w:rPr>
        <w:t>机构设置：</w:t>
      </w:r>
    </w:p>
    <w:p>
      <w:pPr>
        <w:spacing w:line="560" w:lineRule="exact"/>
        <w:ind w:firstLine="560" w:firstLineChars="200"/>
        <w:jc w:val="center"/>
        <w:outlineLvl w:val="0"/>
        <w:rPr>
          <w:rFonts w:ascii="仿宋" w:hAnsi="仿宋" w:eastAsia="仿宋"/>
          <w:sz w:val="28"/>
          <w:szCs w:val="28"/>
          <w:highlight w:val="none"/>
        </w:rPr>
      </w:pPr>
      <w:r>
        <w:rPr>
          <w:rFonts w:ascii="仿宋" w:hAnsi="仿宋" w:eastAsia="仿宋"/>
          <w:sz w:val="28"/>
          <w:szCs w:val="28"/>
          <w:highlight w:val="none"/>
        </w:rPr>
        <w:t>部门机构设置情况</w:t>
      </w: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65"/>
        <w:gridCol w:w="2940"/>
        <w:gridCol w:w="1854"/>
        <w:gridCol w:w="4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5165" w:type="dxa"/>
            <w:vMerge w:val="restart"/>
            <w:vAlign w:val="center"/>
          </w:tcPr>
          <w:p>
            <w:pPr>
              <w:spacing w:line="560" w:lineRule="exact"/>
              <w:ind w:firstLine="422" w:firstLineChars="200"/>
              <w:rPr>
                <w:rFonts w:eastAsia="方正书宋_GBK"/>
                <w:b/>
                <w:highlight w:val="none"/>
              </w:rPr>
            </w:pPr>
            <w:r>
              <w:rPr>
                <w:rFonts w:eastAsia="方正书宋_GBK"/>
                <w:b/>
                <w:highlight w:val="none"/>
              </w:rPr>
              <w:t>单位名称</w:t>
            </w:r>
          </w:p>
        </w:tc>
        <w:tc>
          <w:tcPr>
            <w:tcW w:w="2940" w:type="dxa"/>
            <w:vMerge w:val="restart"/>
            <w:vAlign w:val="center"/>
          </w:tcPr>
          <w:p>
            <w:pPr>
              <w:spacing w:line="560" w:lineRule="exact"/>
              <w:ind w:firstLine="422" w:firstLineChars="200"/>
              <w:rPr>
                <w:rFonts w:eastAsia="方正书宋_GBK"/>
                <w:b/>
                <w:highlight w:val="none"/>
              </w:rPr>
            </w:pPr>
            <w:r>
              <w:rPr>
                <w:rFonts w:eastAsia="方正书宋_GBK"/>
                <w:b/>
                <w:highlight w:val="none"/>
              </w:rPr>
              <w:t>单位性质</w:t>
            </w:r>
          </w:p>
        </w:tc>
        <w:tc>
          <w:tcPr>
            <w:tcW w:w="1854" w:type="dxa"/>
            <w:vMerge w:val="restart"/>
            <w:vAlign w:val="center"/>
          </w:tcPr>
          <w:p>
            <w:pPr>
              <w:spacing w:line="560" w:lineRule="exact"/>
              <w:rPr>
                <w:rFonts w:eastAsia="方正书宋_GBK"/>
                <w:b/>
                <w:highlight w:val="none"/>
              </w:rPr>
            </w:pPr>
            <w:r>
              <w:rPr>
                <w:rFonts w:hint="eastAsia" w:eastAsia="方正书宋_GBK"/>
                <w:b/>
                <w:highlight w:val="none"/>
              </w:rPr>
              <w:t>单位</w:t>
            </w:r>
            <w:r>
              <w:rPr>
                <w:rFonts w:eastAsia="方正书宋_GBK"/>
                <w:b/>
                <w:highlight w:val="none"/>
              </w:rPr>
              <w:t>规格</w:t>
            </w:r>
          </w:p>
        </w:tc>
        <w:tc>
          <w:tcPr>
            <w:tcW w:w="4215" w:type="dxa"/>
            <w:vMerge w:val="restart"/>
            <w:vAlign w:val="center"/>
          </w:tcPr>
          <w:p>
            <w:pPr>
              <w:spacing w:line="560" w:lineRule="exact"/>
              <w:ind w:firstLine="422" w:firstLineChars="200"/>
              <w:rPr>
                <w:rFonts w:eastAsia="方正书宋_GBK"/>
                <w:b/>
                <w:highlight w:val="none"/>
              </w:rPr>
            </w:pPr>
            <w:r>
              <w:rPr>
                <w:rFonts w:eastAsia="方正书宋_GBK"/>
                <w:b/>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5165" w:type="dxa"/>
            <w:vMerge w:val="continue"/>
            <w:vAlign w:val="center"/>
          </w:tcPr>
          <w:p>
            <w:pPr>
              <w:spacing w:line="560" w:lineRule="exact"/>
              <w:ind w:firstLine="420" w:firstLineChars="200"/>
              <w:outlineLvl w:val="0"/>
              <w:rPr>
                <w:highlight w:val="none"/>
              </w:rPr>
            </w:pPr>
          </w:p>
        </w:tc>
        <w:tc>
          <w:tcPr>
            <w:tcW w:w="2940" w:type="dxa"/>
            <w:vMerge w:val="continue"/>
            <w:vAlign w:val="center"/>
          </w:tcPr>
          <w:p>
            <w:pPr>
              <w:spacing w:line="560" w:lineRule="exact"/>
              <w:ind w:firstLine="420" w:firstLineChars="200"/>
              <w:outlineLvl w:val="0"/>
              <w:rPr>
                <w:highlight w:val="none"/>
              </w:rPr>
            </w:pPr>
          </w:p>
        </w:tc>
        <w:tc>
          <w:tcPr>
            <w:tcW w:w="1854" w:type="dxa"/>
            <w:vMerge w:val="continue"/>
            <w:vAlign w:val="center"/>
          </w:tcPr>
          <w:p>
            <w:pPr>
              <w:spacing w:line="560" w:lineRule="exact"/>
              <w:ind w:firstLine="420" w:firstLineChars="200"/>
              <w:outlineLvl w:val="0"/>
              <w:rPr>
                <w:highlight w:val="none"/>
              </w:rPr>
            </w:pPr>
          </w:p>
        </w:tc>
        <w:tc>
          <w:tcPr>
            <w:tcW w:w="4215" w:type="dxa"/>
            <w:vMerge w:val="continue"/>
            <w:vAlign w:val="center"/>
          </w:tcPr>
          <w:p>
            <w:pPr>
              <w:spacing w:line="560" w:lineRule="exact"/>
              <w:ind w:firstLine="420" w:firstLineChars="200"/>
              <w:outlineLvl w:val="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5165" w:type="dxa"/>
            <w:vAlign w:val="center"/>
          </w:tcPr>
          <w:p>
            <w:pPr>
              <w:spacing w:line="560" w:lineRule="exact"/>
              <w:ind w:firstLine="420" w:firstLineChars="200"/>
              <w:rPr>
                <w:rFonts w:eastAsia="方正书宋_GBK"/>
                <w:highlight w:val="none"/>
              </w:rPr>
            </w:pPr>
            <w:r>
              <w:rPr>
                <w:rFonts w:hint="eastAsia" w:eastAsia="方正书宋_GBK"/>
                <w:highlight w:val="none"/>
              </w:rPr>
              <w:t>霸州市农业局</w:t>
            </w:r>
          </w:p>
        </w:tc>
        <w:tc>
          <w:tcPr>
            <w:tcW w:w="2940" w:type="dxa"/>
            <w:vAlign w:val="center"/>
          </w:tcPr>
          <w:p>
            <w:pPr>
              <w:spacing w:line="560" w:lineRule="exact"/>
              <w:ind w:firstLine="420" w:firstLineChars="200"/>
              <w:rPr>
                <w:rFonts w:eastAsia="方正书宋_GBK"/>
                <w:highlight w:val="none"/>
              </w:rPr>
            </w:pPr>
            <w:r>
              <w:rPr>
                <w:rFonts w:eastAsia="方正书宋_GBK"/>
                <w:highlight w:val="none"/>
              </w:rPr>
              <w:t>行政</w:t>
            </w:r>
          </w:p>
        </w:tc>
        <w:tc>
          <w:tcPr>
            <w:tcW w:w="1854" w:type="dxa"/>
            <w:vAlign w:val="center"/>
          </w:tcPr>
          <w:p>
            <w:pPr>
              <w:spacing w:line="560" w:lineRule="exact"/>
              <w:rPr>
                <w:rFonts w:eastAsia="方正书宋_GBK"/>
                <w:highlight w:val="none"/>
              </w:rPr>
            </w:pPr>
            <w:r>
              <w:rPr>
                <w:rFonts w:eastAsia="方正书宋_GBK"/>
                <w:highlight w:val="none"/>
              </w:rPr>
              <w:t>正</w:t>
            </w:r>
            <w:r>
              <w:rPr>
                <w:rFonts w:hint="eastAsia" w:eastAsia="方正书宋_GBK"/>
                <w:highlight w:val="none"/>
              </w:rPr>
              <w:t>科</w:t>
            </w:r>
            <w:r>
              <w:rPr>
                <w:rFonts w:eastAsia="方正书宋_GBK"/>
                <w:highlight w:val="none"/>
              </w:rPr>
              <w:t>级</w:t>
            </w:r>
          </w:p>
        </w:tc>
        <w:tc>
          <w:tcPr>
            <w:tcW w:w="4215" w:type="dxa"/>
            <w:vAlign w:val="center"/>
          </w:tcPr>
          <w:p>
            <w:pPr>
              <w:spacing w:line="560" w:lineRule="exact"/>
              <w:ind w:firstLine="420" w:firstLineChars="200"/>
              <w:rPr>
                <w:rFonts w:eastAsia="方正书宋_GBK"/>
                <w:highlight w:val="none"/>
              </w:rPr>
            </w:pPr>
            <w:r>
              <w:rPr>
                <w:rFonts w:eastAsia="方正书宋_GBK"/>
                <w:highlight w:val="none"/>
              </w:rPr>
              <w:t>财政拨款</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我单位为1级预算单位，无下属单位，无汇总决算。</w:t>
      </w:r>
    </w:p>
    <w:p>
      <w:pPr>
        <w:spacing w:line="560" w:lineRule="exact"/>
        <w:ind w:firstLine="560" w:firstLineChars="200"/>
        <w:rPr>
          <w:rFonts w:ascii="黑体" w:hAnsi="黑体" w:eastAsia="黑体"/>
          <w:sz w:val="32"/>
          <w:szCs w:val="32"/>
          <w:highlight w:val="none"/>
        </w:rPr>
      </w:pPr>
      <w:r>
        <w:rPr>
          <w:rFonts w:hint="eastAsia" w:eastAsia="黑体"/>
          <w:sz w:val="28"/>
          <w:szCs w:val="28"/>
          <w:highlight w:val="none"/>
        </w:rPr>
        <w:t>二、</w:t>
      </w:r>
      <w:r>
        <w:rPr>
          <w:rFonts w:hint="eastAsia" w:ascii="黑体" w:hAnsi="黑体" w:eastAsia="黑体"/>
          <w:sz w:val="32"/>
          <w:szCs w:val="32"/>
          <w:highlight w:val="none"/>
        </w:rPr>
        <w:t>部门决算报表（见附表）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（一）收入支出决算总表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（二）收入决算表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（三）支出决算表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（四）财政拨款收入支出决算总表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（五）一般公共预算财政拨款收入支出决算表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（六）一般公共预算财政拨款基本支出决算表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（七）政府性基金预算财政拨款收入支出决算表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本部门本年度无相关支出情况，按要求以空表列示。</w:t>
      </w: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国有资本经营预算财政拨款支出决算表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leftChars="200"/>
        <w:rPr>
          <w:rFonts w:ascii="仿宋" w:hAnsi="仿宋" w:eastAsia="仿宋"/>
          <w:sz w:val="32"/>
          <w:szCs w:val="32"/>
          <w:highlight w:val="none"/>
        </w:rPr>
      </w:pPr>
      <w:r>
        <w:rPr>
          <w:rFonts w:hint="eastAsia" w:ascii="仿宋" w:hAnsi="仿宋" w:eastAsia="仿宋" w:cs="仿宋"/>
          <w:b/>
          <w:bCs/>
          <w:color w:val="FF0000"/>
          <w:sz w:val="30"/>
          <w:szCs w:val="30"/>
          <w:highlight w:val="none"/>
        </w:rPr>
        <w:t xml:space="preserve"> </w:t>
      </w:r>
      <w:r>
        <w:rPr>
          <w:rFonts w:hint="eastAsia" w:ascii="仿宋" w:hAnsi="仿宋" w:eastAsia="仿宋"/>
          <w:sz w:val="32"/>
          <w:szCs w:val="32"/>
          <w:highlight w:val="none"/>
        </w:rPr>
        <w:t>本部门本年度无相关支出情况，按要求以空表列示。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（九）“三公”经费及相关信息统计表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cs="仿宋"/>
          <w:color w:val="FF0000"/>
          <w:sz w:val="30"/>
          <w:szCs w:val="30"/>
          <w:highlight w:val="none"/>
        </w:rPr>
      </w:pPr>
      <w:r>
        <w:rPr>
          <w:rFonts w:hint="eastAsia" w:ascii="仿宋" w:hAnsi="仿宋" w:eastAsia="仿宋"/>
          <w:sz w:val="32"/>
          <w:szCs w:val="32"/>
          <w:highlight w:val="none"/>
        </w:rPr>
        <w:t>（十）政府采购情况表</w:t>
      </w:r>
    </w:p>
    <w:p>
      <w:pPr>
        <w:spacing w:line="560" w:lineRule="exact"/>
        <w:ind w:firstLine="640" w:firstLineChars="200"/>
        <w:rPr>
          <w:rFonts w:ascii="黑体" w:hAnsi="黑体" w:eastAsia="黑体"/>
          <w:sz w:val="32"/>
          <w:szCs w:val="32"/>
          <w:highlight w:val="none"/>
        </w:rPr>
      </w:pPr>
      <w:r>
        <w:rPr>
          <w:rFonts w:hint="eastAsia" w:eastAsia="黑体"/>
          <w:sz w:val="32"/>
          <w:szCs w:val="32"/>
          <w:highlight w:val="none"/>
        </w:rPr>
        <w:t>三</w:t>
      </w:r>
      <w:r>
        <w:rPr>
          <w:rFonts w:eastAsia="黑体"/>
          <w:sz w:val="32"/>
          <w:szCs w:val="32"/>
          <w:highlight w:val="none"/>
        </w:rPr>
        <w:t>、</w:t>
      </w:r>
      <w:r>
        <w:rPr>
          <w:rFonts w:hint="eastAsia" w:ascii="黑体" w:hAnsi="黑体" w:eastAsia="黑体"/>
          <w:sz w:val="32"/>
          <w:szCs w:val="32"/>
          <w:highlight w:val="none"/>
        </w:rPr>
        <w:t>2017年度部门决算情况说明</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（一）收入支出决算总体情况说明</w:t>
      </w:r>
    </w:p>
    <w:p>
      <w:pPr>
        <w:snapToGrid w:val="0"/>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霸州市农业局</w:t>
      </w:r>
      <w:r>
        <w:rPr>
          <w:rFonts w:ascii="仿宋_GB2312" w:hAnsi="仿宋_GB2312" w:eastAsia="仿宋_GB2312"/>
          <w:color w:val="000000"/>
          <w:sz w:val="32"/>
          <w:highlight w:val="none"/>
        </w:rPr>
        <w:t>201</w:t>
      </w:r>
      <w:r>
        <w:rPr>
          <w:rFonts w:hint="eastAsia" w:ascii="仿宋_GB2312" w:hAnsi="仿宋_GB2312" w:eastAsia="仿宋_GB2312"/>
          <w:color w:val="000000"/>
          <w:sz w:val="32"/>
          <w:highlight w:val="none"/>
        </w:rPr>
        <w:t>7</w:t>
      </w:r>
      <w:r>
        <w:rPr>
          <w:rFonts w:ascii="仿宋_GB2312" w:hAnsi="仿宋_GB2312" w:eastAsia="仿宋_GB2312"/>
          <w:color w:val="000000"/>
          <w:sz w:val="32"/>
          <w:highlight w:val="none"/>
        </w:rPr>
        <w:t>年</w:t>
      </w:r>
      <w:r>
        <w:rPr>
          <w:rFonts w:hint="eastAsia" w:ascii="仿宋_GB2312" w:hAnsi="仿宋_GB2312" w:eastAsia="仿宋_GB2312"/>
          <w:color w:val="000000"/>
          <w:sz w:val="32"/>
          <w:highlight w:val="none"/>
        </w:rPr>
        <w:t>度</w:t>
      </w:r>
      <w:r>
        <w:rPr>
          <w:rFonts w:ascii="仿宋_GB2312" w:hAnsi="仿宋_GB2312" w:eastAsia="仿宋_GB2312"/>
          <w:color w:val="000000"/>
          <w:sz w:val="32"/>
          <w:highlight w:val="none"/>
        </w:rPr>
        <w:t>决算收入总计</w:t>
      </w:r>
      <w:r>
        <w:rPr>
          <w:rFonts w:hint="eastAsia" w:ascii="仿宋_GB2312" w:hAnsi="仿宋_GB2312" w:eastAsia="仿宋_GB2312"/>
          <w:color w:val="000000"/>
          <w:sz w:val="32"/>
          <w:highlight w:val="none"/>
        </w:rPr>
        <w:t>9299.53</w:t>
      </w:r>
      <w:r>
        <w:rPr>
          <w:rFonts w:ascii="仿宋_GB2312" w:hAnsi="仿宋_GB2312" w:eastAsia="仿宋_GB2312"/>
          <w:color w:val="000000"/>
          <w:sz w:val="32"/>
          <w:highlight w:val="none"/>
        </w:rPr>
        <w:t>万元，决算支出总计</w:t>
      </w:r>
      <w:r>
        <w:rPr>
          <w:rFonts w:hint="eastAsia" w:ascii="仿宋_GB2312" w:hAnsi="仿宋_GB2312" w:eastAsia="仿宋_GB2312"/>
          <w:color w:val="000000"/>
          <w:sz w:val="32"/>
          <w:highlight w:val="none"/>
        </w:rPr>
        <w:t>7191.66</w:t>
      </w:r>
      <w:r>
        <w:rPr>
          <w:rFonts w:ascii="仿宋_GB2312" w:hAnsi="仿宋_GB2312" w:eastAsia="仿宋_GB2312"/>
          <w:color w:val="000000"/>
          <w:sz w:val="32"/>
          <w:highlight w:val="none"/>
        </w:rPr>
        <w:t>万元。与2016年</w:t>
      </w:r>
      <w:r>
        <w:rPr>
          <w:rFonts w:hint="eastAsia" w:ascii="仿宋_GB2312" w:hAnsi="仿宋_GB2312" w:eastAsia="仿宋_GB2312"/>
          <w:color w:val="000000"/>
          <w:sz w:val="32"/>
          <w:highlight w:val="none"/>
        </w:rPr>
        <w:t>度决算</w:t>
      </w:r>
      <w:r>
        <w:rPr>
          <w:rFonts w:ascii="仿宋_GB2312" w:hAnsi="仿宋_GB2312" w:eastAsia="仿宋_GB2312"/>
          <w:color w:val="000000"/>
          <w:sz w:val="32"/>
          <w:highlight w:val="none"/>
        </w:rPr>
        <w:t>相比，</w:t>
      </w:r>
      <w:r>
        <w:rPr>
          <w:rFonts w:hint="eastAsia" w:ascii="仿宋_GB2312" w:hAnsi="仿宋_GB2312" w:eastAsiaTheme="minorEastAsia"/>
          <w:color w:val="000000"/>
          <w:sz w:val="32"/>
          <w:highlight w:val="none"/>
        </w:rPr>
        <w:t>收入</w:t>
      </w:r>
      <w:r>
        <w:rPr>
          <w:rFonts w:hint="eastAsia" w:ascii="仿宋_GB2312" w:hAnsi="仿宋_GB2312" w:eastAsia="仿宋_GB2312"/>
          <w:color w:val="000000"/>
          <w:sz w:val="32"/>
          <w:highlight w:val="none"/>
        </w:rPr>
        <w:t>增加</w:t>
      </w:r>
      <w:r>
        <w:rPr>
          <w:rFonts w:hint="eastAsia" w:ascii="仿宋_GB2312" w:hAnsi="仿宋_GB2312" w:eastAsiaTheme="minorEastAsia"/>
          <w:color w:val="000000"/>
          <w:sz w:val="32"/>
          <w:highlight w:val="none"/>
          <w:lang w:val="en-US" w:eastAsia="zh-CN"/>
        </w:rPr>
        <w:t>3515.56</w:t>
      </w:r>
      <w:r>
        <w:rPr>
          <w:rFonts w:ascii="仿宋_GB2312" w:hAnsi="仿宋_GB2312" w:eastAsia="仿宋_GB2312"/>
          <w:color w:val="000000"/>
          <w:sz w:val="32"/>
          <w:highlight w:val="none"/>
        </w:rPr>
        <w:t>万元，</w:t>
      </w:r>
      <w:r>
        <w:rPr>
          <w:rFonts w:hint="eastAsia" w:ascii="仿宋_GB2312" w:hAnsi="仿宋_GB2312" w:eastAsia="仿宋_GB2312"/>
          <w:color w:val="000000"/>
          <w:sz w:val="32"/>
          <w:highlight w:val="none"/>
        </w:rPr>
        <w:t>增长</w:t>
      </w:r>
      <w:r>
        <w:rPr>
          <w:rFonts w:hint="eastAsia" w:ascii="仿宋_GB2312" w:hAnsi="仿宋_GB2312" w:eastAsiaTheme="minorEastAsia"/>
          <w:color w:val="000000"/>
          <w:sz w:val="32"/>
          <w:highlight w:val="none"/>
          <w:lang w:val="en-US" w:eastAsia="zh-CN"/>
        </w:rPr>
        <w:t>61</w:t>
      </w:r>
      <w:r>
        <w:rPr>
          <w:rFonts w:ascii="仿宋_GB2312" w:hAnsi="仿宋_GB2312" w:eastAsia="仿宋_GB2312"/>
          <w:color w:val="000000"/>
          <w:sz w:val="32"/>
          <w:highlight w:val="none"/>
        </w:rPr>
        <w:t>%，主要原因是</w:t>
      </w:r>
      <w:r>
        <w:rPr>
          <w:rFonts w:hint="eastAsia" w:ascii="仿宋_GB2312" w:hAnsi="仿宋_GB2312" w:eastAsia="仿宋_GB2312"/>
          <w:color w:val="000000"/>
          <w:sz w:val="32"/>
          <w:highlight w:val="none"/>
        </w:rPr>
        <w:t>农业项目增加</w:t>
      </w:r>
      <w:r>
        <w:rPr>
          <w:rFonts w:hint="eastAsia" w:ascii="仿宋_GB2312" w:hAnsi="仿宋_GB2312" w:eastAsiaTheme="minorEastAsia"/>
          <w:color w:val="000000"/>
          <w:sz w:val="32"/>
          <w:highlight w:val="none"/>
        </w:rPr>
        <w:t>；</w:t>
      </w:r>
      <w:r>
        <w:rPr>
          <w:rFonts w:ascii="仿宋_GB2312" w:hAnsi="仿宋_GB2312" w:eastAsia="仿宋_GB2312"/>
          <w:color w:val="000000"/>
          <w:sz w:val="32"/>
          <w:highlight w:val="none"/>
        </w:rPr>
        <w:t>与2016年</w:t>
      </w:r>
      <w:r>
        <w:rPr>
          <w:rFonts w:hint="eastAsia" w:ascii="仿宋_GB2312" w:hAnsi="仿宋_GB2312" w:eastAsia="仿宋_GB2312"/>
          <w:color w:val="000000"/>
          <w:sz w:val="32"/>
          <w:highlight w:val="none"/>
        </w:rPr>
        <w:t>度决算</w:t>
      </w:r>
      <w:r>
        <w:rPr>
          <w:rFonts w:ascii="仿宋_GB2312" w:hAnsi="仿宋_GB2312" w:eastAsia="仿宋_GB2312"/>
          <w:color w:val="000000"/>
          <w:sz w:val="32"/>
          <w:highlight w:val="none"/>
        </w:rPr>
        <w:t>相比，</w:t>
      </w:r>
      <w:r>
        <w:rPr>
          <w:rFonts w:hint="eastAsia" w:ascii="仿宋_GB2312" w:hAnsi="仿宋_GB2312" w:eastAsiaTheme="minorEastAsia"/>
          <w:color w:val="000000"/>
          <w:sz w:val="32"/>
          <w:highlight w:val="none"/>
        </w:rPr>
        <w:t>支出</w:t>
      </w:r>
      <w:r>
        <w:rPr>
          <w:rFonts w:hint="eastAsia" w:ascii="仿宋_GB2312" w:hAnsi="仿宋_GB2312" w:eastAsia="仿宋_GB2312"/>
          <w:color w:val="000000"/>
          <w:sz w:val="32"/>
          <w:highlight w:val="none"/>
        </w:rPr>
        <w:t>增加</w:t>
      </w:r>
      <w:r>
        <w:rPr>
          <w:rFonts w:hint="eastAsia" w:ascii="仿宋_GB2312" w:hAnsi="仿宋_GB2312" w:eastAsiaTheme="minorEastAsia"/>
          <w:color w:val="000000"/>
          <w:sz w:val="32"/>
          <w:highlight w:val="none"/>
        </w:rPr>
        <w:t>3643.54</w:t>
      </w:r>
      <w:r>
        <w:rPr>
          <w:rFonts w:ascii="仿宋_GB2312" w:hAnsi="仿宋_GB2312" w:eastAsia="仿宋_GB2312"/>
          <w:color w:val="000000"/>
          <w:sz w:val="32"/>
          <w:highlight w:val="none"/>
        </w:rPr>
        <w:t>万元，</w:t>
      </w:r>
      <w:r>
        <w:rPr>
          <w:rFonts w:hint="eastAsia" w:ascii="仿宋_GB2312" w:hAnsi="仿宋_GB2312" w:eastAsia="仿宋_GB2312"/>
          <w:color w:val="000000"/>
          <w:sz w:val="32"/>
          <w:highlight w:val="none"/>
        </w:rPr>
        <w:t>增长</w:t>
      </w:r>
      <w:r>
        <w:rPr>
          <w:rFonts w:hint="eastAsia" w:ascii="仿宋_GB2312" w:hAnsi="仿宋_GB2312" w:eastAsiaTheme="minorEastAsia"/>
          <w:color w:val="000000"/>
          <w:sz w:val="32"/>
          <w:highlight w:val="none"/>
          <w:lang w:val="en-US" w:eastAsia="zh-CN"/>
        </w:rPr>
        <w:t>103</w:t>
      </w:r>
      <w:r>
        <w:rPr>
          <w:rFonts w:ascii="仿宋_GB2312" w:hAnsi="仿宋_GB2312" w:eastAsia="仿宋_GB2312"/>
          <w:color w:val="000000"/>
          <w:sz w:val="32"/>
          <w:highlight w:val="none"/>
        </w:rPr>
        <w:t>%，主要原因是</w:t>
      </w:r>
      <w:r>
        <w:rPr>
          <w:rFonts w:hint="eastAsia" w:ascii="仿宋_GB2312" w:hAnsi="仿宋_GB2312" w:eastAsia="仿宋_GB2312"/>
          <w:color w:val="000000"/>
          <w:sz w:val="32"/>
          <w:highlight w:val="none"/>
        </w:rPr>
        <w:t>农业项目增加</w:t>
      </w:r>
      <w:r>
        <w:rPr>
          <w:rFonts w:ascii="仿宋_GB2312" w:hAnsi="仿宋_GB2312" w:eastAsia="仿宋_GB2312"/>
          <w:color w:val="000000"/>
          <w:sz w:val="32"/>
          <w:highlight w:val="none"/>
        </w:rPr>
        <w:t>。</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（二）收入决算情况说明</w:t>
      </w:r>
    </w:p>
    <w:p>
      <w:pPr>
        <w:snapToGrid w:val="0"/>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霸州市农业局2017年度收入合计9299.53万元，其中财政拨款收入7231.08万元，占比78%；其他收入2068.45万元，占比22%。</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（三）支出决算情况说明</w:t>
      </w:r>
    </w:p>
    <w:p>
      <w:pPr>
        <w:widowControl/>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olor w:val="000000"/>
          <w:sz w:val="32"/>
          <w:highlight w:val="none"/>
        </w:rPr>
        <w:t>霸州市农业局2017年部门决算支出为7191.66万元，其中：基本支出1140.25万元，占比16%，包含人员经费支出1036.02万元和日常公用经费支出104.23万元；项目支出6051.41万元，占比84%。</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（四）财政拨款收入支出决算总体情况说明</w:t>
      </w:r>
    </w:p>
    <w:p>
      <w:pPr>
        <w:widowControl/>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lang w:val="en-US" w:eastAsia="zh-CN"/>
        </w:rPr>
        <w:t>反映本部门财政拨款收支情况。</w:t>
      </w:r>
      <w:r>
        <w:rPr>
          <w:rFonts w:hint="eastAsia" w:ascii="仿宋_GB2312" w:hAnsi="仿宋_GB2312" w:eastAsia="仿宋_GB2312"/>
          <w:color w:val="000000"/>
          <w:sz w:val="32"/>
          <w:highlight w:val="none"/>
        </w:rPr>
        <w:t>霸州市农业局2017年度财政拨款收入7231.08万元，财政拨款支出4943.1万元。</w:t>
      </w:r>
    </w:p>
    <w:p>
      <w:pPr>
        <w:widowControl/>
        <w:spacing w:line="560" w:lineRule="exact"/>
        <w:ind w:firstLine="643" w:firstLineChars="200"/>
        <w:rPr>
          <w:rFonts w:ascii="仿宋" w:hAnsi="仿宋" w:eastAsia="仿宋" w:cs="仿宋"/>
          <w:b/>
          <w:bCs/>
          <w:color w:val="FF0000"/>
          <w:sz w:val="32"/>
          <w:szCs w:val="32"/>
          <w:highlight w:val="none"/>
        </w:rPr>
      </w:pPr>
      <w:r>
        <w:rPr>
          <w:rFonts w:hint="eastAsia" w:ascii="仿宋" w:hAnsi="仿宋" w:eastAsia="仿宋" w:cs="仿宋"/>
          <w:b/>
          <w:bCs/>
          <w:sz w:val="32"/>
          <w:highlight w:val="none"/>
        </w:rPr>
        <w:t>1、财政拨款收支与2016年度决算对比情况</w:t>
      </w:r>
    </w:p>
    <w:p>
      <w:pPr>
        <w:snapToGrid w:val="0"/>
        <w:spacing w:line="560" w:lineRule="exact"/>
        <w:ind w:firstLine="640" w:firstLineChars="200"/>
        <w:rPr>
          <w:rFonts w:ascii="仿宋" w:hAnsi="仿宋" w:eastAsia="仿宋" w:cs="仿宋"/>
          <w:color w:val="000000"/>
          <w:sz w:val="32"/>
          <w:highlight w:val="none"/>
        </w:rPr>
      </w:pPr>
      <w:r>
        <w:rPr>
          <w:rFonts w:hint="eastAsia" w:ascii="仿宋_GB2312" w:hAnsi="仿宋_GB2312" w:eastAsia="仿宋_GB2312"/>
          <w:color w:val="000000"/>
          <w:sz w:val="32"/>
          <w:highlight w:val="none"/>
        </w:rPr>
        <w:t>霸州市农业局2017年财政拨款收入决算总计7231.08万元，较2016年度决算增加</w:t>
      </w:r>
      <w:r>
        <w:rPr>
          <w:rFonts w:hint="eastAsia" w:ascii="仿宋_GB2312" w:hAnsi="仿宋_GB2312" w:eastAsia="仿宋_GB2312"/>
          <w:color w:val="000000"/>
          <w:sz w:val="32"/>
          <w:highlight w:val="none"/>
          <w:lang w:val="en-US" w:eastAsia="zh-CN"/>
        </w:rPr>
        <w:t>1683.18</w:t>
      </w:r>
      <w:r>
        <w:rPr>
          <w:rFonts w:hint="eastAsia" w:ascii="仿宋_GB2312" w:hAnsi="仿宋_GB2312" w:eastAsia="仿宋_GB2312"/>
          <w:color w:val="000000"/>
          <w:sz w:val="32"/>
          <w:highlight w:val="none"/>
        </w:rPr>
        <w:t>万元，增长</w:t>
      </w:r>
      <w:r>
        <w:rPr>
          <w:rFonts w:hint="eastAsia" w:ascii="仿宋_GB2312" w:hAnsi="仿宋_GB2312" w:eastAsia="仿宋_GB2312"/>
          <w:color w:val="000000"/>
          <w:sz w:val="32"/>
          <w:highlight w:val="none"/>
          <w:lang w:val="en-US" w:eastAsia="zh-CN"/>
        </w:rPr>
        <w:t>30</w:t>
      </w:r>
      <w:r>
        <w:rPr>
          <w:rFonts w:hint="eastAsia" w:ascii="仿宋_GB2312" w:hAnsi="仿宋_GB2312" w:eastAsia="仿宋_GB2312"/>
          <w:color w:val="000000"/>
          <w:sz w:val="32"/>
          <w:highlight w:val="none"/>
        </w:rPr>
        <w:t>%，主要原因是2017年人员经费增加，农业项目增加。其中，一般公共预算拨款增加1683.18万元。2017年财政拨款支出决算总计</w:t>
      </w:r>
      <w:r>
        <w:rPr>
          <w:rFonts w:hint="eastAsia" w:ascii="仿宋_GB2312" w:hAnsi="仿宋_GB2312" w:eastAsia="仿宋_GB2312"/>
          <w:color w:val="000000"/>
          <w:sz w:val="32"/>
          <w:highlight w:val="none"/>
          <w:lang w:val="en-US" w:eastAsia="zh-CN"/>
        </w:rPr>
        <w:t>4943.1</w:t>
      </w:r>
      <w:r>
        <w:rPr>
          <w:rFonts w:hint="eastAsia" w:ascii="仿宋_GB2312" w:hAnsi="仿宋_GB2312" w:eastAsia="仿宋_GB2312"/>
          <w:color w:val="000000"/>
          <w:sz w:val="32"/>
          <w:highlight w:val="none"/>
        </w:rPr>
        <w:t>万元，较2016年度决算增加</w:t>
      </w:r>
      <w:r>
        <w:rPr>
          <w:rFonts w:hint="eastAsia" w:ascii="仿宋_GB2312" w:hAnsi="仿宋_GB2312" w:eastAsia="仿宋_GB2312"/>
          <w:color w:val="000000"/>
          <w:sz w:val="32"/>
          <w:highlight w:val="none"/>
          <w:lang w:val="en-US" w:eastAsia="zh-CN"/>
        </w:rPr>
        <w:t>1618.45</w:t>
      </w:r>
      <w:r>
        <w:rPr>
          <w:rFonts w:hint="eastAsia" w:ascii="仿宋_GB2312" w:hAnsi="仿宋_GB2312" w:eastAsia="仿宋_GB2312"/>
          <w:color w:val="000000"/>
          <w:sz w:val="32"/>
          <w:highlight w:val="none"/>
        </w:rPr>
        <w:t>万元，增长</w:t>
      </w:r>
      <w:r>
        <w:rPr>
          <w:rFonts w:hint="eastAsia" w:ascii="仿宋_GB2312" w:hAnsi="仿宋_GB2312" w:eastAsia="仿宋_GB2312"/>
          <w:color w:val="000000"/>
          <w:sz w:val="32"/>
          <w:highlight w:val="none"/>
          <w:lang w:val="en-US" w:eastAsia="zh-CN"/>
        </w:rPr>
        <w:t>49</w:t>
      </w:r>
      <w:r>
        <w:rPr>
          <w:rFonts w:hint="eastAsia" w:ascii="仿宋_GB2312" w:hAnsi="仿宋_GB2312" w:eastAsia="仿宋_GB2312"/>
          <w:color w:val="000000"/>
          <w:sz w:val="32"/>
          <w:highlight w:val="none"/>
        </w:rPr>
        <w:t>%，主要原因是2017年农业项目增加。其中基本支出增加365.54万元，项目支出增加</w:t>
      </w:r>
      <w:r>
        <w:rPr>
          <w:rFonts w:hint="eastAsia" w:ascii="仿宋_GB2312" w:hAnsi="仿宋_GB2312" w:eastAsia="仿宋_GB2312"/>
          <w:color w:val="000000"/>
          <w:sz w:val="32"/>
          <w:highlight w:val="none"/>
          <w:lang w:val="en-US" w:eastAsia="zh-CN"/>
        </w:rPr>
        <w:t>1252.91</w:t>
      </w:r>
      <w:r>
        <w:rPr>
          <w:rFonts w:hint="eastAsia" w:ascii="仿宋_GB2312" w:hAnsi="仿宋_GB2312" w:eastAsia="仿宋_GB2312"/>
          <w:color w:val="000000"/>
          <w:sz w:val="32"/>
          <w:highlight w:val="none"/>
        </w:rPr>
        <w:t>万元。</w:t>
      </w:r>
    </w:p>
    <w:p>
      <w:pPr>
        <w:widowControl/>
        <w:spacing w:line="560" w:lineRule="exact"/>
        <w:ind w:firstLine="643" w:firstLineChars="200"/>
        <w:rPr>
          <w:rFonts w:ascii="仿宋" w:hAnsi="仿宋" w:eastAsia="仿宋" w:cs="仿宋"/>
          <w:b/>
          <w:bCs/>
          <w:sz w:val="32"/>
          <w:szCs w:val="22"/>
          <w:highlight w:val="none"/>
        </w:rPr>
      </w:pPr>
      <w:r>
        <w:rPr>
          <w:rFonts w:hint="eastAsia" w:ascii="仿宋" w:hAnsi="仿宋" w:eastAsia="仿宋" w:cs="仿宋"/>
          <w:b/>
          <w:bCs/>
          <w:sz w:val="32"/>
          <w:szCs w:val="22"/>
          <w:highlight w:val="none"/>
        </w:rPr>
        <w:t>2、财政拨款收支与年初预算数对比情况</w:t>
      </w:r>
    </w:p>
    <w:p>
      <w:pPr>
        <w:snapToGrid w:val="0"/>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霸州市农业局2017年财政拨款收入决算总计7231.08万元，较年初预算减少2243.21万元，下降23%，主要原因是由于项目预算有所调整。其中，一般公共预算拨款减少2243.21万元，政府性基金预算财政拨款0万元。2017年财政拨款支出决算总计4943.1万元，较年初预算减少4531.19万元，增下降48%，主要原因是项目有所调整，项目资金减少以及项目支出进度慢。其中基本支出增加147.92万元，项目支出减少4679.11万元。</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（五）“三公”经费支出决算情况说明</w:t>
      </w:r>
    </w:p>
    <w:p>
      <w:pPr>
        <w:snapToGrid w:val="0"/>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2017年度部门“三公”经费支出10.</w:t>
      </w:r>
      <w:r>
        <w:rPr>
          <w:rFonts w:hint="eastAsia" w:ascii="仿宋_GB2312" w:hAnsi="仿宋_GB2312" w:eastAsia="仿宋_GB2312"/>
          <w:color w:val="000000"/>
          <w:sz w:val="32"/>
          <w:highlight w:val="none"/>
          <w:lang w:val="en-US" w:eastAsia="zh-CN"/>
        </w:rPr>
        <w:t>03</w:t>
      </w:r>
      <w:r>
        <w:rPr>
          <w:rFonts w:hint="eastAsia" w:ascii="仿宋_GB2312" w:hAnsi="仿宋_GB2312" w:eastAsia="仿宋_GB2312"/>
          <w:color w:val="000000"/>
          <w:sz w:val="32"/>
          <w:highlight w:val="none"/>
        </w:rPr>
        <w:t>万元，比预算减少</w:t>
      </w:r>
      <w:r>
        <w:rPr>
          <w:rFonts w:hint="eastAsia" w:ascii="仿宋_GB2312" w:hAnsi="仿宋_GB2312" w:eastAsia="仿宋_GB2312"/>
          <w:color w:val="000000"/>
          <w:sz w:val="32"/>
          <w:highlight w:val="none"/>
          <w:lang w:val="en-US" w:eastAsia="zh-CN"/>
        </w:rPr>
        <w:t>0.76</w:t>
      </w:r>
      <w:r>
        <w:rPr>
          <w:rFonts w:hint="eastAsia" w:ascii="仿宋_GB2312" w:hAnsi="仿宋_GB2312" w:eastAsia="仿宋_GB2312"/>
          <w:color w:val="000000"/>
          <w:sz w:val="32"/>
          <w:highlight w:val="none"/>
        </w:rPr>
        <w:t>万元，比2016年度决算减少1</w:t>
      </w:r>
      <w:r>
        <w:rPr>
          <w:rFonts w:hint="eastAsia" w:ascii="仿宋_GB2312" w:hAnsi="仿宋_GB2312" w:eastAsia="仿宋_GB2312"/>
          <w:color w:val="000000"/>
          <w:sz w:val="32"/>
          <w:highlight w:val="none"/>
          <w:lang w:val="en-US" w:eastAsia="zh-CN"/>
        </w:rPr>
        <w:t>4.25</w:t>
      </w:r>
      <w:r>
        <w:rPr>
          <w:rFonts w:hint="eastAsia" w:ascii="仿宋_GB2312" w:hAnsi="仿宋_GB2312" w:eastAsia="仿宋_GB2312"/>
          <w:color w:val="000000"/>
          <w:sz w:val="32"/>
          <w:highlight w:val="none"/>
        </w:rPr>
        <w:t>万元。原因是公车辆减少、</w:t>
      </w:r>
      <w:r>
        <w:rPr>
          <w:rFonts w:hint="eastAsia" w:ascii="仿宋_GB2312" w:hAnsi="仿宋_GB2312" w:eastAsia="仿宋_GB2312"/>
          <w:color w:val="000000"/>
          <w:sz w:val="32"/>
          <w:highlight w:val="none"/>
          <w:lang w:val="en-US" w:eastAsia="zh-CN"/>
        </w:rPr>
        <w:t>厉行节约、减少</w:t>
      </w:r>
      <w:r>
        <w:rPr>
          <w:rFonts w:hint="eastAsia" w:ascii="仿宋_GB2312" w:hAnsi="仿宋_GB2312" w:eastAsia="仿宋_GB2312"/>
          <w:color w:val="000000"/>
          <w:sz w:val="32"/>
          <w:highlight w:val="none"/>
        </w:rPr>
        <w:t>三公经费</w:t>
      </w:r>
      <w:r>
        <w:rPr>
          <w:rFonts w:hint="eastAsia" w:ascii="仿宋_GB2312" w:hAnsi="仿宋_GB2312" w:eastAsia="仿宋_GB2312"/>
          <w:color w:val="000000"/>
          <w:sz w:val="32"/>
          <w:highlight w:val="none"/>
          <w:lang w:val="en-US" w:eastAsia="zh-CN"/>
        </w:rPr>
        <w:t>支出</w:t>
      </w:r>
      <w:r>
        <w:rPr>
          <w:rFonts w:hint="eastAsia" w:ascii="仿宋_GB2312" w:hAnsi="仿宋_GB2312" w:eastAsia="仿宋_GB2312"/>
          <w:color w:val="000000"/>
          <w:sz w:val="32"/>
          <w:highlight w:val="none"/>
        </w:rPr>
        <w:t>。其中：因公出国（境）费0万元（本单位2017年度组织出国（境）团组0个，因公出国（境）人次数0人），比预算增加（减少）0万元，比2016年度决算增加（减少）0万元，原因是没有此项支出；公务用车购置及运行维护费9.51万元（公务用车购置数量0辆，购置金额0万元，公车运行维护费9.51万元，年末公务用车保有量3辆），比预算减少0.49万元，比2016年度决算减少14.16万元，原因是公车减少；公务接待费0.52万元（2017年度国内公务接待</w:t>
      </w:r>
      <w:r>
        <w:rPr>
          <w:rFonts w:hint="eastAsia" w:ascii="仿宋_GB2312" w:hAnsi="仿宋_GB2312" w:eastAsiaTheme="minorEastAsia"/>
          <w:color w:val="000000"/>
          <w:sz w:val="32"/>
          <w:highlight w:val="none"/>
        </w:rPr>
        <w:t>8</w:t>
      </w:r>
      <w:r>
        <w:rPr>
          <w:rFonts w:hint="eastAsia" w:ascii="仿宋_GB2312" w:hAnsi="仿宋_GB2312" w:eastAsia="仿宋_GB2312"/>
          <w:color w:val="000000"/>
          <w:sz w:val="32"/>
          <w:highlight w:val="none"/>
        </w:rPr>
        <w:t>批次，合计接待</w:t>
      </w:r>
      <w:r>
        <w:rPr>
          <w:rFonts w:hint="eastAsia" w:ascii="仿宋_GB2312" w:hAnsi="仿宋_GB2312" w:eastAsiaTheme="minorEastAsia"/>
          <w:color w:val="000000"/>
          <w:sz w:val="32"/>
          <w:highlight w:val="none"/>
        </w:rPr>
        <w:t>97</w:t>
      </w:r>
      <w:r>
        <w:rPr>
          <w:rFonts w:hint="eastAsia" w:ascii="仿宋_GB2312" w:hAnsi="仿宋_GB2312" w:eastAsia="仿宋_GB2312"/>
          <w:color w:val="000000"/>
          <w:sz w:val="32"/>
          <w:highlight w:val="none"/>
        </w:rPr>
        <w:t>人</w:t>
      </w:r>
      <w:r>
        <w:rPr>
          <w:rFonts w:hint="eastAsia" w:ascii="仿宋_GB2312" w:hAnsi="仿宋_GB2312" w:eastAsiaTheme="minorEastAsia"/>
          <w:color w:val="000000"/>
          <w:sz w:val="32"/>
          <w:highlight w:val="none"/>
        </w:rPr>
        <w:t>次</w:t>
      </w:r>
      <w:r>
        <w:rPr>
          <w:rFonts w:hint="eastAsia" w:ascii="仿宋_GB2312" w:hAnsi="仿宋_GB2312" w:eastAsia="仿宋_GB2312"/>
          <w:color w:val="000000"/>
          <w:sz w:val="32"/>
          <w:highlight w:val="none"/>
        </w:rPr>
        <w:t>），比预算减少0.27万元，比2016年度决算减少0.09万元，原因是招待的人次减少。</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（六）预算绩效管理工作开展情况说明</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highlight w:val="none"/>
          <w:shd w:val="clear" w:color="auto" w:fill="FFFFFF"/>
        </w:rPr>
      </w:pPr>
      <w:r>
        <w:rPr>
          <w:rFonts w:hint="eastAsia" w:ascii="仿宋_GB2312" w:hAnsi="仿宋_GB2312" w:eastAsia="仿宋_GB2312" w:cs="仿宋_GB2312"/>
          <w:b/>
          <w:bCs/>
          <w:color w:val="000000"/>
          <w:kern w:val="0"/>
          <w:sz w:val="32"/>
          <w:szCs w:val="32"/>
          <w:highlight w:val="none"/>
          <w:shd w:val="clear" w:color="auto" w:fill="FFFFFF"/>
        </w:rPr>
        <w:t>1、预算绩效管理工作开展情况</w:t>
      </w:r>
    </w:p>
    <w:p>
      <w:pPr>
        <w:autoSpaceDE w:val="0"/>
        <w:autoSpaceDN w:val="0"/>
        <w:snapToGrid w:val="0"/>
        <w:spacing w:line="560" w:lineRule="exact"/>
        <w:ind w:firstLine="640" w:firstLineChars="200"/>
        <w:rPr>
          <w:rFonts w:ascii="仿宋_GB2312" w:hAnsi="仿宋_GB2312" w:eastAsia="仿宋_GB2312" w:cs="仿宋_GB2312"/>
          <w:b/>
          <w:bCs/>
          <w:color w:val="000000"/>
          <w:kern w:val="0"/>
          <w:sz w:val="32"/>
          <w:szCs w:val="32"/>
          <w:highlight w:val="none"/>
          <w:shd w:val="clear" w:color="auto" w:fill="FFFFFF"/>
        </w:rPr>
      </w:pPr>
      <w:r>
        <w:rPr>
          <w:rFonts w:hint="eastAsia" w:ascii="仿宋_GB2312" w:hAnsi="仿宋_GB2312" w:eastAsia="仿宋_GB2312"/>
          <w:color w:val="000000"/>
          <w:sz w:val="32"/>
          <w:highlight w:val="none"/>
        </w:rPr>
        <w:t>本部门对2017年政务管理等工作进行了绩效评价。</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highlight w:val="none"/>
          <w:shd w:val="clear" w:color="auto" w:fill="FFFFFF"/>
        </w:rPr>
      </w:pPr>
      <w:r>
        <w:rPr>
          <w:rFonts w:hint="eastAsia" w:ascii="仿宋_GB2312" w:hAnsi="仿宋_GB2312" w:eastAsia="仿宋_GB2312" w:cs="仿宋_GB2312"/>
          <w:b/>
          <w:bCs/>
          <w:color w:val="000000"/>
          <w:kern w:val="0"/>
          <w:sz w:val="32"/>
          <w:szCs w:val="32"/>
          <w:highlight w:val="none"/>
          <w:shd w:val="clear" w:color="auto" w:fill="FFFFFF"/>
        </w:rPr>
        <w:t>2、预算项目绩效评价开展情况</w:t>
      </w:r>
    </w:p>
    <w:p>
      <w:pPr>
        <w:snapToGrid w:val="0"/>
        <w:spacing w:line="560" w:lineRule="exact"/>
        <w:ind w:firstLine="640" w:firstLineChars="200"/>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针对工作中可能出现的问题和执行情况进行了分类打分，优化整改，评价的结果是使各项工作更加完善合理，提高了工作效率。</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（七）其他重要事项的说明</w:t>
      </w:r>
    </w:p>
    <w:p>
      <w:pPr>
        <w:widowControl/>
        <w:spacing w:line="560" w:lineRule="exact"/>
        <w:ind w:firstLine="643" w:firstLineChars="200"/>
        <w:rPr>
          <w:rFonts w:ascii="仿宋_GB2312" w:hAnsi="仿宋_GB2312" w:eastAsia="仿宋_GB2312"/>
          <w:color w:val="000000"/>
          <w:sz w:val="32"/>
          <w:highlight w:val="none"/>
        </w:rPr>
      </w:pPr>
      <w:r>
        <w:rPr>
          <w:rFonts w:eastAsia="仿宋_GB2312"/>
          <w:b/>
          <w:bCs/>
          <w:sz w:val="32"/>
          <w:szCs w:val="32"/>
          <w:highlight w:val="none"/>
        </w:rPr>
        <w:t>1</w:t>
      </w:r>
      <w:r>
        <w:rPr>
          <w:rFonts w:hint="eastAsia" w:eastAsia="仿宋_GB2312"/>
          <w:b/>
          <w:bCs/>
          <w:sz w:val="32"/>
          <w:szCs w:val="32"/>
          <w:highlight w:val="none"/>
        </w:rPr>
        <w:t>、</w:t>
      </w:r>
      <w:r>
        <w:rPr>
          <w:rFonts w:eastAsia="仿宋_GB2312"/>
          <w:b/>
          <w:bCs/>
          <w:sz w:val="32"/>
          <w:szCs w:val="32"/>
          <w:highlight w:val="none"/>
        </w:rPr>
        <w:t>机关运行经费情况</w:t>
      </w:r>
      <w:r>
        <w:rPr>
          <w:rFonts w:hint="eastAsia" w:eastAsia="仿宋_GB2312"/>
          <w:b/>
          <w:bCs/>
          <w:sz w:val="32"/>
          <w:szCs w:val="32"/>
          <w:highlight w:val="none"/>
        </w:rPr>
        <w:t>：</w:t>
      </w:r>
      <w:r>
        <w:rPr>
          <w:rFonts w:hint="eastAsia" w:ascii="仿宋_GB2312" w:hAnsi="仿宋_GB2312" w:eastAsia="仿宋_GB2312"/>
          <w:color w:val="000000"/>
          <w:sz w:val="32"/>
          <w:highlight w:val="none"/>
        </w:rPr>
        <w:t>2017年度部门机关运行经费支出104.23万元，比2016年度减少28.08万元，下降</w:t>
      </w:r>
      <w:r>
        <w:rPr>
          <w:rFonts w:hint="eastAsia" w:ascii="仿宋_GB2312" w:hAnsi="仿宋_GB2312" w:eastAsia="仿宋_GB2312"/>
          <w:color w:val="000000"/>
          <w:sz w:val="32"/>
          <w:highlight w:val="none"/>
          <w:lang w:val="en-US" w:eastAsia="zh-CN"/>
        </w:rPr>
        <w:t>21.22</w:t>
      </w:r>
      <w:r>
        <w:rPr>
          <w:rFonts w:hint="eastAsia" w:ascii="仿宋_GB2312" w:hAnsi="仿宋_GB2312" w:eastAsia="仿宋_GB2312"/>
          <w:color w:val="000000"/>
          <w:sz w:val="32"/>
          <w:highlight w:val="none"/>
        </w:rPr>
        <w:t>%。主要原因是相应政府号召，节能排检，厉行节约。</w:t>
      </w:r>
    </w:p>
    <w:p>
      <w:pPr>
        <w:autoSpaceDE w:val="0"/>
        <w:autoSpaceDN w:val="0"/>
        <w:snapToGrid w:val="0"/>
        <w:spacing w:line="560" w:lineRule="exact"/>
        <w:ind w:firstLine="643" w:firstLineChars="200"/>
        <w:rPr>
          <w:rFonts w:ascii="仿宋_GB2312" w:hAnsi="仿宋_GB2312" w:eastAsia="仿宋_GB2312"/>
          <w:color w:val="000000"/>
          <w:sz w:val="32"/>
          <w:highlight w:val="none"/>
        </w:rPr>
      </w:pPr>
      <w:r>
        <w:rPr>
          <w:rFonts w:eastAsia="仿宋_GB2312"/>
          <w:b/>
          <w:bCs/>
          <w:sz w:val="32"/>
          <w:szCs w:val="32"/>
          <w:highlight w:val="none"/>
        </w:rPr>
        <w:t>2</w:t>
      </w:r>
      <w:r>
        <w:rPr>
          <w:rFonts w:hint="eastAsia" w:eastAsia="仿宋_GB2312"/>
          <w:b/>
          <w:bCs/>
          <w:sz w:val="32"/>
          <w:szCs w:val="32"/>
          <w:highlight w:val="none"/>
        </w:rPr>
        <w:t>、</w:t>
      </w:r>
      <w:r>
        <w:rPr>
          <w:rFonts w:eastAsia="仿宋_GB2312"/>
          <w:b/>
          <w:bCs/>
          <w:sz w:val="32"/>
          <w:szCs w:val="32"/>
          <w:highlight w:val="none"/>
        </w:rPr>
        <w:t>政府采购情况</w:t>
      </w:r>
      <w:r>
        <w:rPr>
          <w:rFonts w:hint="eastAsia" w:eastAsia="仿宋_GB2312"/>
          <w:b/>
          <w:bCs/>
          <w:sz w:val="32"/>
          <w:szCs w:val="32"/>
          <w:highlight w:val="none"/>
        </w:rPr>
        <w:t>：</w:t>
      </w:r>
      <w:r>
        <w:rPr>
          <w:rFonts w:hint="eastAsia" w:ascii="仿宋_GB2312" w:hAnsi="仿宋_GB2312" w:eastAsia="仿宋_GB2312"/>
          <w:color w:val="000000"/>
          <w:sz w:val="32"/>
          <w:highlight w:val="none"/>
        </w:rPr>
        <w:t>2017年度部门政府采购支出1557.13万元，其中：政府采购货物支出946.36万元，政府采购工程支出0万元，政府采购服务支出610.77万元。</w:t>
      </w:r>
    </w:p>
    <w:tbl>
      <w:tblPr>
        <w:tblStyle w:val="6"/>
        <w:tblW w:w="13988" w:type="dxa"/>
        <w:tblInd w:w="0" w:type="dxa"/>
        <w:shd w:val="clear" w:color="auto" w:fill="FFFFFF" w:themeFill="background1"/>
        <w:tblLayout w:type="fixed"/>
        <w:tblCellMar>
          <w:top w:w="15" w:type="dxa"/>
          <w:left w:w="15" w:type="dxa"/>
          <w:bottom w:w="15" w:type="dxa"/>
          <w:right w:w="15" w:type="dxa"/>
        </w:tblCellMar>
      </w:tblPr>
      <w:tblGrid>
        <w:gridCol w:w="1653"/>
        <w:gridCol w:w="2319"/>
        <w:gridCol w:w="2202"/>
        <w:gridCol w:w="1609"/>
        <w:gridCol w:w="425"/>
        <w:gridCol w:w="1684"/>
        <w:gridCol w:w="2154"/>
        <w:gridCol w:w="1942"/>
      </w:tblGrid>
      <w:tr>
        <w:tblPrEx>
          <w:tblLayout w:type="fixed"/>
          <w:tblCellMar>
            <w:top w:w="15" w:type="dxa"/>
            <w:left w:w="15" w:type="dxa"/>
            <w:bottom w:w="15" w:type="dxa"/>
            <w:right w:w="15" w:type="dxa"/>
          </w:tblCellMar>
        </w:tblPrEx>
        <w:trPr>
          <w:trHeight w:val="702" w:hRule="atLeast"/>
        </w:trPr>
        <w:tc>
          <w:tcPr>
            <w:tcW w:w="1653" w:type="dxa"/>
            <w:shd w:val="clear" w:color="auto" w:fill="FFFFFF" w:themeFill="background1"/>
            <w:vAlign w:val="bottom"/>
          </w:tcPr>
          <w:p>
            <w:pPr>
              <w:rPr>
                <w:rFonts w:ascii="Arial" w:hAnsi="Arial" w:cs="Arial"/>
                <w:color w:val="000000"/>
                <w:sz w:val="20"/>
                <w:highlight w:val="none"/>
              </w:rPr>
            </w:pPr>
          </w:p>
        </w:tc>
        <w:tc>
          <w:tcPr>
            <w:tcW w:w="2319" w:type="dxa"/>
            <w:shd w:val="clear" w:color="auto" w:fill="FFFFFF" w:themeFill="background1"/>
            <w:vAlign w:val="bottom"/>
          </w:tcPr>
          <w:p>
            <w:pPr>
              <w:rPr>
                <w:rFonts w:ascii="Arial" w:hAnsi="Arial" w:cs="Arial"/>
                <w:color w:val="000000"/>
                <w:sz w:val="20"/>
                <w:highlight w:val="none"/>
              </w:rPr>
            </w:pPr>
          </w:p>
        </w:tc>
        <w:tc>
          <w:tcPr>
            <w:tcW w:w="5920" w:type="dxa"/>
            <w:gridSpan w:val="4"/>
            <w:shd w:val="clear" w:color="auto" w:fill="FFFFFF" w:themeFill="background1"/>
            <w:vAlign w:val="bottom"/>
          </w:tcPr>
          <w:p>
            <w:pPr>
              <w:rPr>
                <w:rFonts w:ascii="Arial" w:hAnsi="Arial" w:cs="Arial"/>
                <w:color w:val="000000"/>
                <w:sz w:val="20"/>
                <w:highlight w:val="none"/>
              </w:rPr>
            </w:pPr>
            <w:r>
              <w:rPr>
                <w:rFonts w:hint="eastAsia" w:ascii="宋体" w:hAnsi="宋体" w:cs="宋体"/>
                <w:color w:val="000000"/>
                <w:kern w:val="0"/>
                <w:sz w:val="30"/>
                <w:szCs w:val="30"/>
                <w:highlight w:val="none"/>
              </w:rPr>
              <w:t>政府采购情况表</w:t>
            </w:r>
          </w:p>
        </w:tc>
        <w:tc>
          <w:tcPr>
            <w:tcW w:w="2154" w:type="dxa"/>
            <w:shd w:val="clear" w:color="auto" w:fill="FFFFFF" w:themeFill="background1"/>
            <w:vAlign w:val="bottom"/>
          </w:tcPr>
          <w:p>
            <w:pPr>
              <w:rPr>
                <w:rFonts w:ascii="Arial" w:hAnsi="Arial" w:cs="Arial"/>
                <w:color w:val="000000"/>
                <w:sz w:val="20"/>
                <w:highlight w:val="none"/>
              </w:rPr>
            </w:pPr>
          </w:p>
        </w:tc>
        <w:tc>
          <w:tcPr>
            <w:tcW w:w="1942" w:type="dxa"/>
            <w:shd w:val="clear" w:color="auto" w:fill="FFFFFF" w:themeFill="background1"/>
            <w:vAlign w:val="bottom"/>
          </w:tcPr>
          <w:p>
            <w:pPr>
              <w:rPr>
                <w:rFonts w:ascii="Arial" w:hAnsi="Arial" w:cs="Arial"/>
                <w:color w:val="000000"/>
                <w:sz w:val="20"/>
                <w:highlight w:val="none"/>
              </w:rPr>
            </w:pPr>
          </w:p>
        </w:tc>
      </w:tr>
      <w:tr>
        <w:tblPrEx>
          <w:shd w:val="clear" w:color="auto" w:fill="FFFFFF" w:themeFill="background1"/>
          <w:tblLayout w:type="fixed"/>
          <w:tblCellMar>
            <w:top w:w="15" w:type="dxa"/>
            <w:left w:w="15" w:type="dxa"/>
            <w:bottom w:w="15" w:type="dxa"/>
            <w:right w:w="15" w:type="dxa"/>
          </w:tblCellMar>
        </w:tblPrEx>
        <w:trPr>
          <w:trHeight w:val="285" w:hRule="atLeast"/>
        </w:trPr>
        <w:tc>
          <w:tcPr>
            <w:tcW w:w="1653" w:type="dxa"/>
            <w:shd w:val="clear" w:color="auto" w:fill="FFFFFF" w:themeFill="background1"/>
            <w:vAlign w:val="bottom"/>
          </w:tcPr>
          <w:p>
            <w:pPr>
              <w:rPr>
                <w:rFonts w:ascii="Arial" w:hAnsi="Arial" w:cs="Arial"/>
                <w:color w:val="000000"/>
                <w:sz w:val="20"/>
                <w:highlight w:val="none"/>
              </w:rPr>
            </w:pPr>
          </w:p>
        </w:tc>
        <w:tc>
          <w:tcPr>
            <w:tcW w:w="2319" w:type="dxa"/>
            <w:shd w:val="clear" w:color="auto" w:fill="FFFFFF" w:themeFill="background1"/>
            <w:vAlign w:val="bottom"/>
          </w:tcPr>
          <w:p>
            <w:pPr>
              <w:rPr>
                <w:rFonts w:ascii="Arial" w:hAnsi="Arial" w:cs="Arial"/>
                <w:color w:val="000000"/>
                <w:sz w:val="20"/>
                <w:highlight w:val="none"/>
              </w:rPr>
            </w:pPr>
          </w:p>
        </w:tc>
        <w:tc>
          <w:tcPr>
            <w:tcW w:w="2202" w:type="dxa"/>
            <w:shd w:val="clear" w:color="auto" w:fill="FFFFFF" w:themeFill="background1"/>
            <w:vAlign w:val="bottom"/>
          </w:tcPr>
          <w:p>
            <w:pPr>
              <w:rPr>
                <w:rFonts w:ascii="Arial" w:hAnsi="Arial" w:cs="Arial"/>
                <w:color w:val="000000"/>
                <w:sz w:val="20"/>
                <w:highlight w:val="none"/>
              </w:rPr>
            </w:pPr>
          </w:p>
        </w:tc>
        <w:tc>
          <w:tcPr>
            <w:tcW w:w="2034" w:type="dxa"/>
            <w:gridSpan w:val="2"/>
            <w:shd w:val="clear" w:color="auto" w:fill="FFFFFF" w:themeFill="background1"/>
            <w:vAlign w:val="bottom"/>
          </w:tcPr>
          <w:p>
            <w:pPr>
              <w:rPr>
                <w:rFonts w:ascii="Arial" w:hAnsi="Arial" w:cs="Arial"/>
                <w:color w:val="000000"/>
                <w:sz w:val="20"/>
                <w:highlight w:val="none"/>
              </w:rPr>
            </w:pPr>
          </w:p>
        </w:tc>
        <w:tc>
          <w:tcPr>
            <w:tcW w:w="1684" w:type="dxa"/>
            <w:shd w:val="clear" w:color="auto" w:fill="FFFFFF" w:themeFill="background1"/>
            <w:vAlign w:val="bottom"/>
          </w:tcPr>
          <w:p>
            <w:pPr>
              <w:rPr>
                <w:rFonts w:ascii="Arial" w:hAnsi="Arial" w:cs="Arial"/>
                <w:color w:val="000000"/>
                <w:sz w:val="20"/>
                <w:highlight w:val="none"/>
              </w:rPr>
            </w:pPr>
          </w:p>
        </w:tc>
        <w:tc>
          <w:tcPr>
            <w:tcW w:w="2154" w:type="dxa"/>
            <w:shd w:val="clear" w:color="auto" w:fill="FFFFFF" w:themeFill="background1"/>
            <w:vAlign w:val="bottom"/>
          </w:tcPr>
          <w:p>
            <w:pPr>
              <w:rPr>
                <w:rFonts w:ascii="Arial" w:hAnsi="Arial" w:cs="Arial"/>
                <w:color w:val="000000"/>
                <w:sz w:val="20"/>
                <w:highlight w:val="none"/>
              </w:rPr>
            </w:pPr>
          </w:p>
        </w:tc>
        <w:tc>
          <w:tcPr>
            <w:tcW w:w="1942" w:type="dxa"/>
            <w:shd w:val="clear" w:color="auto" w:fill="FFFFFF" w:themeFill="background1"/>
            <w:vAlign w:val="bottom"/>
          </w:tcPr>
          <w:p>
            <w:pPr>
              <w:widowControl/>
              <w:jc w:val="right"/>
              <w:textAlignment w:val="bottom"/>
              <w:rPr>
                <w:rFonts w:ascii="宋体" w:hAnsi="宋体" w:cs="宋体"/>
                <w:color w:val="000000"/>
                <w:sz w:val="20"/>
                <w:highlight w:val="none"/>
              </w:rPr>
            </w:pPr>
            <w:r>
              <w:rPr>
                <w:rFonts w:hint="eastAsia" w:ascii="宋体" w:hAnsi="宋体" w:cs="宋体"/>
                <w:color w:val="000000"/>
                <w:kern w:val="0"/>
                <w:sz w:val="20"/>
                <w:highlight w:val="none"/>
              </w:rPr>
              <w:t>公开10表</w:t>
            </w:r>
          </w:p>
        </w:tc>
      </w:tr>
      <w:tr>
        <w:tblPrEx>
          <w:shd w:val="clear" w:color="auto" w:fill="FFFFFF" w:themeFill="background1"/>
          <w:tblLayout w:type="fixed"/>
          <w:tblCellMar>
            <w:top w:w="15" w:type="dxa"/>
            <w:left w:w="15" w:type="dxa"/>
            <w:bottom w:w="15" w:type="dxa"/>
            <w:right w:w="15" w:type="dxa"/>
          </w:tblCellMar>
        </w:tblPrEx>
        <w:trPr>
          <w:trHeight w:val="285" w:hRule="atLeast"/>
        </w:trPr>
        <w:tc>
          <w:tcPr>
            <w:tcW w:w="6174" w:type="dxa"/>
            <w:gridSpan w:val="3"/>
            <w:shd w:val="clear" w:color="auto" w:fill="FFFFFF" w:themeFill="background1"/>
            <w:vAlign w:val="bottom"/>
          </w:tcPr>
          <w:p>
            <w:pPr>
              <w:rPr>
                <w:rFonts w:ascii="Arial" w:hAnsi="Arial" w:cs="Arial"/>
                <w:color w:val="000000"/>
                <w:sz w:val="20"/>
                <w:highlight w:val="none"/>
              </w:rPr>
            </w:pPr>
            <w:r>
              <w:rPr>
                <w:rFonts w:hint="eastAsia" w:ascii="宋体" w:hAnsi="宋体" w:cs="宋体"/>
                <w:color w:val="000000"/>
                <w:kern w:val="0"/>
                <w:sz w:val="20"/>
                <w:highlight w:val="none"/>
              </w:rPr>
              <w:t>编制单位：廊坊市霸州市农业局（本级）</w:t>
            </w:r>
          </w:p>
        </w:tc>
        <w:tc>
          <w:tcPr>
            <w:tcW w:w="2034" w:type="dxa"/>
            <w:gridSpan w:val="2"/>
            <w:shd w:val="clear" w:color="auto" w:fill="FFFFFF" w:themeFill="background1"/>
            <w:vAlign w:val="bottom"/>
          </w:tcPr>
          <w:p>
            <w:pPr>
              <w:rPr>
                <w:rFonts w:ascii="Arial" w:hAnsi="Arial" w:cs="Arial"/>
                <w:color w:val="000000"/>
                <w:sz w:val="20"/>
                <w:highlight w:val="none"/>
              </w:rPr>
            </w:pPr>
          </w:p>
        </w:tc>
        <w:tc>
          <w:tcPr>
            <w:tcW w:w="1684" w:type="dxa"/>
            <w:shd w:val="clear" w:color="auto" w:fill="FFFFFF" w:themeFill="background1"/>
            <w:vAlign w:val="bottom"/>
          </w:tcPr>
          <w:p>
            <w:pPr>
              <w:rPr>
                <w:rFonts w:ascii="Arial" w:hAnsi="Arial" w:cs="Arial"/>
                <w:color w:val="000000"/>
                <w:sz w:val="20"/>
                <w:highlight w:val="none"/>
              </w:rPr>
            </w:pPr>
          </w:p>
        </w:tc>
        <w:tc>
          <w:tcPr>
            <w:tcW w:w="2154" w:type="dxa"/>
            <w:shd w:val="clear" w:color="auto" w:fill="FFFFFF" w:themeFill="background1"/>
            <w:vAlign w:val="bottom"/>
          </w:tcPr>
          <w:p>
            <w:pPr>
              <w:rPr>
                <w:rFonts w:ascii="Arial" w:hAnsi="Arial" w:cs="Arial"/>
                <w:color w:val="000000"/>
                <w:sz w:val="20"/>
                <w:highlight w:val="none"/>
              </w:rPr>
            </w:pPr>
          </w:p>
        </w:tc>
        <w:tc>
          <w:tcPr>
            <w:tcW w:w="1942" w:type="dxa"/>
            <w:shd w:val="clear" w:color="auto" w:fill="FFFFFF" w:themeFill="background1"/>
            <w:vAlign w:val="bottom"/>
          </w:tcPr>
          <w:p>
            <w:pPr>
              <w:widowControl/>
              <w:jc w:val="right"/>
              <w:textAlignment w:val="bottom"/>
              <w:rPr>
                <w:rFonts w:ascii="宋体" w:hAnsi="宋体" w:cs="宋体"/>
                <w:color w:val="000000"/>
                <w:sz w:val="20"/>
                <w:highlight w:val="none"/>
              </w:rPr>
            </w:pPr>
            <w:r>
              <w:rPr>
                <w:rFonts w:hint="eastAsia" w:ascii="宋体" w:hAnsi="宋体" w:cs="宋体"/>
                <w:color w:val="000000"/>
                <w:kern w:val="0"/>
                <w:sz w:val="20"/>
                <w:highlight w:val="none"/>
              </w:rPr>
              <w:t>金额单位：万元</w:t>
            </w:r>
          </w:p>
        </w:tc>
      </w:tr>
      <w:tr>
        <w:tblPrEx>
          <w:shd w:val="clear" w:color="auto" w:fill="FFFFFF" w:themeFill="background1"/>
          <w:tblLayout w:type="fixed"/>
          <w:tblCellMar>
            <w:top w:w="15" w:type="dxa"/>
            <w:left w:w="15" w:type="dxa"/>
            <w:bottom w:w="15" w:type="dxa"/>
            <w:right w:w="15"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项目</w:t>
            </w:r>
          </w:p>
        </w:tc>
        <w:tc>
          <w:tcPr>
            <w:tcW w:w="12335" w:type="dxa"/>
            <w:gridSpan w:val="7"/>
            <w:tcBorders>
              <w:top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采购计划金额</w:t>
            </w:r>
          </w:p>
        </w:tc>
      </w:tr>
      <w:tr>
        <w:tblPrEx>
          <w:tblLayout w:type="fixed"/>
          <w:tblCellMar>
            <w:top w:w="15" w:type="dxa"/>
            <w:left w:w="15" w:type="dxa"/>
            <w:bottom w:w="15" w:type="dxa"/>
            <w:right w:w="15"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319" w:type="dxa"/>
            <w:vMerge w:val="restart"/>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总计</w:t>
            </w:r>
          </w:p>
        </w:tc>
        <w:tc>
          <w:tcPr>
            <w:tcW w:w="8074" w:type="dxa"/>
            <w:gridSpan w:val="5"/>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采购预算(财政性资金)</w:t>
            </w:r>
          </w:p>
        </w:tc>
        <w:tc>
          <w:tcPr>
            <w:tcW w:w="1942" w:type="dxa"/>
            <w:vMerge w:val="restart"/>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非财政性资金</w:t>
            </w:r>
          </w:p>
        </w:tc>
      </w:tr>
      <w:tr>
        <w:tblPrEx>
          <w:shd w:val="clear" w:color="auto" w:fill="FFFFFF" w:themeFill="background1"/>
          <w:tblLayout w:type="fixed"/>
          <w:tblCellMar>
            <w:top w:w="15" w:type="dxa"/>
            <w:left w:w="15" w:type="dxa"/>
            <w:bottom w:w="15" w:type="dxa"/>
            <w:right w:w="15"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319" w:type="dxa"/>
            <w:vMerge w:val="continue"/>
            <w:tcBorders>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20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60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一般公共预算</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政府性基金预算</w:t>
            </w:r>
          </w:p>
        </w:tc>
        <w:tc>
          <w:tcPr>
            <w:tcW w:w="2154"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其他资金</w:t>
            </w:r>
          </w:p>
        </w:tc>
        <w:tc>
          <w:tcPr>
            <w:tcW w:w="1942" w:type="dxa"/>
            <w:vMerge w:val="continue"/>
            <w:tcBorders>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231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220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60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2154"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94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合      计</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1,557.13</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1,557.13</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1,557.13</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货物</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946.36</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946.36</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946.36</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工程</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服务</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610.77</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610.77</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610.77</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vMerge w:val="restart"/>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项目</w:t>
            </w:r>
          </w:p>
        </w:tc>
        <w:tc>
          <w:tcPr>
            <w:tcW w:w="12335" w:type="dxa"/>
            <w:gridSpan w:val="7"/>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实际采购金额</w:t>
            </w:r>
          </w:p>
        </w:tc>
      </w:tr>
      <w:tr>
        <w:tblPrEx>
          <w:tblLayout w:type="fixed"/>
          <w:tblCellMar>
            <w:top w:w="15" w:type="dxa"/>
            <w:left w:w="15" w:type="dxa"/>
            <w:bottom w:w="15" w:type="dxa"/>
            <w:right w:w="15" w:type="dxa"/>
          </w:tblCellMar>
        </w:tblPrEx>
        <w:trPr>
          <w:trHeight w:val="300" w:hRule="atLeast"/>
        </w:trPr>
        <w:tc>
          <w:tcPr>
            <w:tcW w:w="1653"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319" w:type="dxa"/>
            <w:vMerge w:val="restart"/>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总计</w:t>
            </w:r>
          </w:p>
        </w:tc>
        <w:tc>
          <w:tcPr>
            <w:tcW w:w="8074" w:type="dxa"/>
            <w:gridSpan w:val="5"/>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采购预算(财政性资金)</w:t>
            </w:r>
          </w:p>
        </w:tc>
        <w:tc>
          <w:tcPr>
            <w:tcW w:w="1942" w:type="dxa"/>
            <w:vMerge w:val="restart"/>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非财政性资金</w:t>
            </w:r>
          </w:p>
        </w:tc>
      </w:tr>
      <w:tr>
        <w:tblPrEx>
          <w:shd w:val="clear" w:color="auto" w:fill="FFFFFF" w:themeFill="background1"/>
          <w:tblLayout w:type="fixed"/>
          <w:tblCellMar>
            <w:top w:w="15" w:type="dxa"/>
            <w:left w:w="15" w:type="dxa"/>
            <w:bottom w:w="15" w:type="dxa"/>
            <w:right w:w="15" w:type="dxa"/>
          </w:tblCellMar>
        </w:tblPrEx>
        <w:trPr>
          <w:trHeight w:val="300" w:hRule="atLeast"/>
        </w:trPr>
        <w:tc>
          <w:tcPr>
            <w:tcW w:w="1653"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319" w:type="dxa"/>
            <w:vMerge w:val="continue"/>
            <w:tcBorders>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c>
          <w:tcPr>
            <w:tcW w:w="220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160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一般公共预算</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政府性基金预算</w:t>
            </w:r>
          </w:p>
        </w:tc>
        <w:tc>
          <w:tcPr>
            <w:tcW w:w="2154"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其他资金</w:t>
            </w:r>
          </w:p>
        </w:tc>
        <w:tc>
          <w:tcPr>
            <w:tcW w:w="1942" w:type="dxa"/>
            <w:vMerge w:val="continue"/>
            <w:tcBorders>
              <w:bottom w:val="single" w:color="000000" w:sz="4" w:space="0"/>
              <w:right w:val="single" w:color="000000" w:sz="4" w:space="0"/>
            </w:tcBorders>
            <w:shd w:val="clear" w:color="auto" w:fill="FFFFFF" w:themeFill="background1"/>
            <w:vAlign w:val="center"/>
          </w:tcPr>
          <w:p>
            <w:pPr>
              <w:jc w:val="center"/>
              <w:rPr>
                <w:rFonts w:ascii="宋体" w:hAnsi="宋体" w:cs="宋体"/>
                <w:color w:val="000000"/>
                <w:sz w:val="22"/>
                <w:szCs w:val="22"/>
                <w:highlight w:val="none"/>
              </w:rPr>
            </w:pPr>
          </w:p>
        </w:tc>
      </w:tr>
      <w:tr>
        <w:tblPrEx>
          <w:shd w:val="clear" w:color="auto" w:fill="FFFFFF" w:themeFill="background1"/>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栏次</w:t>
            </w:r>
          </w:p>
        </w:tc>
        <w:tc>
          <w:tcPr>
            <w:tcW w:w="231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220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609"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2154"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942" w:type="dxa"/>
            <w:tcBorders>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12</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合      计</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1,410.53</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1,410.53</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1,410.53</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货物</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867.10</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867.10</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867.10</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工程</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r>
        <w:tblPrEx>
          <w:shd w:val="clear" w:color="auto" w:fill="FFFFFF" w:themeFill="background1"/>
          <w:tblLayout w:type="fixed"/>
          <w:tblCellMar>
            <w:top w:w="15" w:type="dxa"/>
            <w:left w:w="15" w:type="dxa"/>
            <w:bottom w:w="15" w:type="dxa"/>
            <w:right w:w="15" w:type="dxa"/>
          </w:tblCellMar>
        </w:tblPrEx>
        <w:trPr>
          <w:trHeight w:val="300" w:hRule="atLeast"/>
        </w:trPr>
        <w:tc>
          <w:tcPr>
            <w:tcW w:w="1653" w:type="dxa"/>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服务</w:t>
            </w:r>
          </w:p>
        </w:tc>
        <w:tc>
          <w:tcPr>
            <w:tcW w:w="231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543.43</w:t>
            </w:r>
          </w:p>
        </w:tc>
        <w:tc>
          <w:tcPr>
            <w:tcW w:w="220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543.43</w:t>
            </w:r>
          </w:p>
        </w:tc>
        <w:tc>
          <w:tcPr>
            <w:tcW w:w="1609"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543.43</w:t>
            </w:r>
          </w:p>
        </w:tc>
        <w:tc>
          <w:tcPr>
            <w:tcW w:w="2109" w:type="dxa"/>
            <w:gridSpan w:val="2"/>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2154"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c>
          <w:tcPr>
            <w:tcW w:w="1942" w:type="dxa"/>
            <w:tcBorders>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0.00</w:t>
            </w:r>
          </w:p>
        </w:tc>
      </w:tr>
    </w:tbl>
    <w:p>
      <w:pPr>
        <w:autoSpaceDE w:val="0"/>
        <w:autoSpaceDN w:val="0"/>
        <w:snapToGrid w:val="0"/>
        <w:spacing w:line="560" w:lineRule="exact"/>
        <w:ind w:firstLine="640" w:firstLineChars="200"/>
        <w:rPr>
          <w:rFonts w:ascii="仿宋_GB2312" w:hAnsi="仿宋_GB2312" w:eastAsia="仿宋_GB2312" w:cs="仿宋_GB2312"/>
          <w:color w:val="333333"/>
          <w:kern w:val="0"/>
          <w:sz w:val="32"/>
          <w:szCs w:val="32"/>
          <w:highlight w:val="none"/>
          <w:shd w:val="clear" w:color="auto" w:fill="FFFFFF"/>
        </w:rPr>
      </w:pPr>
    </w:p>
    <w:p>
      <w:pPr>
        <w:widowControl/>
        <w:spacing w:line="560" w:lineRule="exact"/>
        <w:ind w:firstLine="643" w:firstLineChars="200"/>
        <w:rPr>
          <w:rFonts w:ascii="仿宋_GB2312" w:hAnsi="仿宋_GB2312" w:eastAsia="仿宋_GB2312" w:cs="仿宋_GB2312"/>
          <w:color w:val="FF0000"/>
          <w:kern w:val="0"/>
          <w:sz w:val="32"/>
          <w:szCs w:val="32"/>
          <w:highlight w:val="none"/>
          <w:shd w:val="clear" w:color="auto" w:fill="FFFFFF"/>
        </w:rPr>
      </w:pPr>
      <w:r>
        <w:rPr>
          <w:rFonts w:eastAsia="仿宋_GB2312"/>
          <w:b/>
          <w:bCs/>
          <w:sz w:val="32"/>
          <w:szCs w:val="32"/>
          <w:highlight w:val="none"/>
        </w:rPr>
        <w:t>3</w:t>
      </w:r>
      <w:r>
        <w:rPr>
          <w:rFonts w:hint="eastAsia" w:eastAsia="仿宋_GB2312"/>
          <w:b/>
          <w:bCs/>
          <w:sz w:val="32"/>
          <w:szCs w:val="32"/>
          <w:highlight w:val="none"/>
        </w:rPr>
        <w:t>、</w:t>
      </w:r>
      <w:r>
        <w:rPr>
          <w:rFonts w:eastAsia="仿宋_GB2312"/>
          <w:b/>
          <w:bCs/>
          <w:sz w:val="32"/>
          <w:szCs w:val="32"/>
          <w:highlight w:val="none"/>
        </w:rPr>
        <w:t>国有资产占用情况</w:t>
      </w:r>
      <w:r>
        <w:rPr>
          <w:rFonts w:hint="eastAsia" w:eastAsia="仿宋_GB2312"/>
          <w:b/>
          <w:bCs/>
          <w:sz w:val="32"/>
          <w:szCs w:val="32"/>
          <w:highlight w:val="none"/>
        </w:rPr>
        <w:t>:</w:t>
      </w:r>
      <w:r>
        <w:rPr>
          <w:rFonts w:hint="eastAsia" w:ascii="仿宋_GB2312" w:hAnsi="仿宋_GB2312" w:eastAsia="仿宋_GB2312"/>
          <w:color w:val="000000"/>
          <w:sz w:val="32"/>
          <w:highlight w:val="none"/>
        </w:rPr>
        <w:t>截至2017年12月31日，本部门共有车辆3辆，其中，一般公务用车3辆；单位价值50万元以上通用设备0台（套），单价100万元以上专用设备0台（套）。</w:t>
      </w:r>
    </w:p>
    <w:p>
      <w:pPr>
        <w:widowControl/>
        <w:spacing w:line="560" w:lineRule="exact"/>
        <w:ind w:firstLine="640" w:firstLineChars="200"/>
        <w:rPr>
          <w:rFonts w:ascii="仿宋_GB2312" w:hAnsi="仿宋_GB2312" w:eastAsia="仿宋_GB2312" w:cs="仿宋_GB2312"/>
          <w:color w:val="FF0000"/>
          <w:kern w:val="0"/>
          <w:sz w:val="32"/>
          <w:szCs w:val="32"/>
          <w:highlight w:val="none"/>
          <w:shd w:val="clear" w:color="auto" w:fill="FFFFFF"/>
        </w:rPr>
      </w:pPr>
    </w:p>
    <w:tbl>
      <w:tblPr>
        <w:tblStyle w:val="6"/>
        <w:tblW w:w="14174" w:type="dxa"/>
        <w:tblInd w:w="0" w:type="dxa"/>
        <w:tblLayout w:type="fixed"/>
        <w:tblCellMar>
          <w:top w:w="0" w:type="dxa"/>
          <w:left w:w="108" w:type="dxa"/>
          <w:bottom w:w="0" w:type="dxa"/>
          <w:right w:w="108" w:type="dxa"/>
        </w:tblCellMar>
      </w:tblPr>
      <w:tblGrid>
        <w:gridCol w:w="5494"/>
        <w:gridCol w:w="3314"/>
        <w:gridCol w:w="5366"/>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kern w:val="0"/>
                <w:sz w:val="28"/>
                <w:szCs w:val="28"/>
                <w:highlight w:val="none"/>
              </w:rPr>
            </w:pPr>
            <w:r>
              <w:rPr>
                <w:rFonts w:hint="eastAsia" w:ascii="宋体" w:hAnsi="宋体" w:cs="宋体"/>
                <w:b/>
                <w:bCs/>
                <w:kern w:val="0"/>
                <w:sz w:val="28"/>
                <w:szCs w:val="28"/>
                <w:highlight w:val="none"/>
              </w:rPr>
              <w:t>部门固定资产占用情况表</w:t>
            </w:r>
          </w:p>
          <w:p>
            <w:pPr>
              <w:autoSpaceDE w:val="0"/>
              <w:autoSpaceDN w:val="0"/>
              <w:snapToGrid w:val="0"/>
              <w:spacing w:line="560" w:lineRule="exact"/>
              <w:ind w:firstLine="562" w:firstLineChars="200"/>
              <w:jc w:val="center"/>
              <w:rPr>
                <w:rFonts w:ascii="宋体" w:hAnsi="宋体" w:cs="宋体"/>
                <w:b/>
                <w:bCs/>
                <w:kern w:val="0"/>
                <w:sz w:val="28"/>
                <w:szCs w:val="28"/>
                <w:highlight w:val="none"/>
              </w:rPr>
            </w:pPr>
          </w:p>
        </w:tc>
      </w:tr>
      <w:tr>
        <w:tblPrEx>
          <w:tblLayout w:type="fixed"/>
          <w:tblCellMar>
            <w:top w:w="0" w:type="dxa"/>
            <w:left w:w="108" w:type="dxa"/>
            <w:bottom w:w="0" w:type="dxa"/>
            <w:right w:w="108" w:type="dxa"/>
          </w:tblCellMar>
        </w:tblPrEx>
        <w:trPr>
          <w:trHeight w:val="493" w:hRule="atLeast"/>
        </w:trPr>
        <w:tc>
          <w:tcPr>
            <w:tcW w:w="8808" w:type="dxa"/>
            <w:gridSpan w:val="2"/>
            <w:tcBorders>
              <w:top w:val="nil"/>
              <w:left w:val="nil"/>
              <w:bottom w:val="nil"/>
              <w:right w:val="nil"/>
            </w:tcBorders>
            <w:vAlign w:val="center"/>
          </w:tcPr>
          <w:p>
            <w:pPr>
              <w:widowControl/>
              <w:spacing w:line="560" w:lineRule="exact"/>
              <w:ind w:firstLine="440" w:firstLineChars="200"/>
              <w:rPr>
                <w:kern w:val="0"/>
                <w:sz w:val="22"/>
                <w:highlight w:val="none"/>
              </w:rPr>
            </w:pPr>
            <w:r>
              <w:rPr>
                <w:rFonts w:hint="eastAsia" w:ascii="宋体" w:hAnsi="宋体" w:cs="宋体"/>
                <w:kern w:val="0"/>
                <w:sz w:val="22"/>
                <w:highlight w:val="none"/>
              </w:rPr>
              <w:t>编制部门：705霸州市农业局</w:t>
            </w:r>
          </w:p>
        </w:tc>
        <w:tc>
          <w:tcPr>
            <w:tcW w:w="5366" w:type="dxa"/>
            <w:tcBorders>
              <w:top w:val="nil"/>
              <w:left w:val="nil"/>
              <w:bottom w:val="nil"/>
              <w:right w:val="nil"/>
            </w:tcBorders>
            <w:vAlign w:val="center"/>
          </w:tcPr>
          <w:p>
            <w:pPr>
              <w:widowControl/>
              <w:spacing w:line="560" w:lineRule="exact"/>
              <w:rPr>
                <w:kern w:val="0"/>
                <w:sz w:val="22"/>
                <w:highlight w:val="none"/>
              </w:rPr>
            </w:pPr>
            <w:r>
              <w:rPr>
                <w:kern w:val="0"/>
                <w:sz w:val="22"/>
                <w:highlight w:val="none"/>
              </w:rPr>
              <w:t>截止时间：201</w:t>
            </w:r>
            <w:r>
              <w:rPr>
                <w:rFonts w:hint="eastAsia"/>
                <w:kern w:val="0"/>
                <w:sz w:val="22"/>
                <w:highlight w:val="none"/>
              </w:rPr>
              <w:t>7</w:t>
            </w:r>
            <w:r>
              <w:rPr>
                <w:kern w:val="0"/>
                <w:sz w:val="22"/>
                <w:highlight w:val="none"/>
              </w:rPr>
              <w:t>年12月31日</w:t>
            </w:r>
          </w:p>
        </w:tc>
      </w:tr>
      <w:tr>
        <w:tblPrEx>
          <w:tblLayout w:type="fixed"/>
          <w:tblCellMar>
            <w:top w:w="0" w:type="dxa"/>
            <w:left w:w="108" w:type="dxa"/>
            <w:bottom w:w="0" w:type="dxa"/>
            <w:right w:w="108" w:type="dxa"/>
          </w:tblCellMar>
        </w:tblPrEx>
        <w:trPr>
          <w:trHeight w:val="571" w:hRule="atLeast"/>
        </w:trPr>
        <w:tc>
          <w:tcPr>
            <w:tcW w:w="549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highlight w:val="none"/>
              </w:rPr>
            </w:pPr>
            <w:r>
              <w:rPr>
                <w:b/>
                <w:bCs/>
                <w:kern w:val="0"/>
                <w:sz w:val="22"/>
                <w:highlight w:val="none"/>
              </w:rPr>
              <w:t>项  目</w:t>
            </w:r>
          </w:p>
        </w:tc>
        <w:tc>
          <w:tcPr>
            <w:tcW w:w="3314"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highlight w:val="none"/>
              </w:rPr>
            </w:pPr>
            <w:r>
              <w:rPr>
                <w:b/>
                <w:bCs/>
                <w:kern w:val="0"/>
                <w:sz w:val="22"/>
                <w:highlight w:val="none"/>
              </w:rPr>
              <w:t>数量</w:t>
            </w:r>
          </w:p>
        </w:tc>
        <w:tc>
          <w:tcPr>
            <w:tcW w:w="5366"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highlight w:val="none"/>
              </w:rPr>
            </w:pPr>
            <w:r>
              <w:rPr>
                <w:b/>
                <w:bCs/>
                <w:kern w:val="0"/>
                <w:sz w:val="22"/>
                <w:highlight w:val="none"/>
              </w:rPr>
              <w:t>价值（金额单位：万元）</w:t>
            </w:r>
          </w:p>
        </w:tc>
      </w:tr>
      <w:tr>
        <w:tblPrEx>
          <w:tblLayout w:type="fixed"/>
          <w:tblCellMar>
            <w:top w:w="0" w:type="dxa"/>
            <w:left w:w="108" w:type="dxa"/>
            <w:bottom w:w="0" w:type="dxa"/>
            <w:right w:w="108" w:type="dxa"/>
          </w:tblCellMar>
        </w:tblPrEx>
        <w:trPr>
          <w:trHeight w:val="571"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资产总额</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kern w:val="0"/>
                <w:sz w:val="22"/>
                <w:highlight w:val="none"/>
              </w:rPr>
              <w:t>——</w:t>
            </w: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1507.76</w:t>
            </w:r>
          </w:p>
        </w:tc>
      </w:tr>
      <w:tr>
        <w:tblPrEx>
          <w:tblLayout w:type="fixed"/>
          <w:tblCellMar>
            <w:top w:w="0" w:type="dxa"/>
            <w:left w:w="108" w:type="dxa"/>
            <w:bottom w:w="0" w:type="dxa"/>
            <w:right w:w="108" w:type="dxa"/>
          </w:tblCellMar>
        </w:tblPrEx>
        <w:trPr>
          <w:trHeight w:val="571"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1、房屋（平方米）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2697</w:t>
            </w: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874.43</w:t>
            </w:r>
          </w:p>
        </w:tc>
      </w:tr>
      <w:tr>
        <w:tblPrEx>
          <w:tblLayout w:type="fixed"/>
          <w:tblCellMar>
            <w:top w:w="0" w:type="dxa"/>
            <w:left w:w="108" w:type="dxa"/>
            <w:bottom w:w="0" w:type="dxa"/>
            <w:right w:w="108" w:type="dxa"/>
          </w:tblCellMar>
        </w:tblPrEx>
        <w:trPr>
          <w:trHeight w:val="571"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kern w:val="0"/>
                <w:sz w:val="22"/>
                <w:highlight w:val="none"/>
              </w:rPr>
              <w:t xml:space="preserve">  </w:t>
            </w:r>
            <w:r>
              <w:rPr>
                <w:rFonts w:hint="eastAsia"/>
                <w:kern w:val="0"/>
                <w:sz w:val="22"/>
                <w:highlight w:val="none"/>
              </w:rPr>
              <w:t xml:space="preserve">  其中：办公用房（平方米）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2697</w:t>
            </w: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874.43</w:t>
            </w:r>
          </w:p>
        </w:tc>
      </w:tr>
      <w:tr>
        <w:tblPrEx>
          <w:tblLayout w:type="fixed"/>
          <w:tblCellMar>
            <w:top w:w="0" w:type="dxa"/>
            <w:left w:w="108" w:type="dxa"/>
            <w:bottom w:w="0" w:type="dxa"/>
            <w:right w:w="108" w:type="dxa"/>
          </w:tblCellMar>
        </w:tblPrEx>
        <w:trPr>
          <w:trHeight w:val="571"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2、车辆（台、辆）</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7</w:t>
            </w: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86.66</w:t>
            </w:r>
          </w:p>
        </w:tc>
      </w:tr>
      <w:tr>
        <w:tblPrEx>
          <w:tblLayout w:type="fixed"/>
          <w:tblCellMar>
            <w:top w:w="0" w:type="dxa"/>
            <w:left w:w="108" w:type="dxa"/>
            <w:bottom w:w="0" w:type="dxa"/>
            <w:right w:w="108" w:type="dxa"/>
          </w:tblCellMar>
        </w:tblPrEx>
        <w:trPr>
          <w:trHeight w:val="571"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3、单价在50万元以上的设备</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p>
        </w:tc>
      </w:tr>
      <w:tr>
        <w:tblPrEx>
          <w:tblLayout w:type="fixed"/>
          <w:tblCellMar>
            <w:top w:w="0" w:type="dxa"/>
            <w:left w:w="108" w:type="dxa"/>
            <w:bottom w:w="0" w:type="dxa"/>
            <w:right w:w="108" w:type="dxa"/>
          </w:tblCellMar>
        </w:tblPrEx>
        <w:trPr>
          <w:trHeight w:val="613" w:hRule="atLeast"/>
        </w:trPr>
        <w:tc>
          <w:tcPr>
            <w:tcW w:w="5494"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4、其他固定资产</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p>
        </w:tc>
        <w:tc>
          <w:tcPr>
            <w:tcW w:w="5366"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highlight w:val="none"/>
              </w:rPr>
            </w:pPr>
            <w:r>
              <w:rPr>
                <w:rFonts w:hint="eastAsia"/>
                <w:kern w:val="0"/>
                <w:sz w:val="22"/>
                <w:highlight w:val="none"/>
              </w:rPr>
              <w:t>546.67</w:t>
            </w:r>
          </w:p>
        </w:tc>
      </w:tr>
    </w:tbl>
    <w:p>
      <w:pPr>
        <w:widowControl/>
        <w:numPr>
          <w:ilvl w:val="0"/>
          <w:numId w:val="3"/>
        </w:numPr>
        <w:spacing w:line="560" w:lineRule="exact"/>
        <w:ind w:firstLine="643" w:firstLineChars="200"/>
        <w:rPr>
          <w:rFonts w:eastAsia="仿宋_GB2312"/>
          <w:b/>
          <w:bCs/>
          <w:sz w:val="32"/>
          <w:szCs w:val="32"/>
          <w:highlight w:val="none"/>
        </w:rPr>
      </w:pPr>
      <w:r>
        <w:rPr>
          <w:rFonts w:eastAsia="仿宋_GB2312"/>
          <w:b/>
          <w:bCs/>
          <w:sz w:val="32"/>
          <w:szCs w:val="32"/>
          <w:highlight w:val="none"/>
        </w:rPr>
        <w:t>其他需要说明的情况</w:t>
      </w:r>
      <w:r>
        <w:rPr>
          <w:rFonts w:hint="eastAsia" w:eastAsia="仿宋_GB2312"/>
          <w:b/>
          <w:bCs/>
          <w:sz w:val="32"/>
          <w:szCs w:val="32"/>
          <w:highlight w:val="none"/>
        </w:rPr>
        <w:t>:</w:t>
      </w:r>
    </w:p>
    <w:p>
      <w:pPr>
        <w:widowControl/>
        <w:spacing w:line="560" w:lineRule="exact"/>
        <w:rPr>
          <w:rFonts w:eastAsia="仿宋_GB2312"/>
          <w:color w:val="000000"/>
          <w:kern w:val="0"/>
          <w:sz w:val="32"/>
          <w:szCs w:val="32"/>
          <w:highlight w:val="none"/>
        </w:rPr>
      </w:pPr>
      <w:r>
        <w:rPr>
          <w:rFonts w:hint="eastAsia" w:ascii="仿宋" w:hAnsi="仿宋" w:eastAsia="仿宋" w:cs="仿宋"/>
          <w:b/>
          <w:bCs/>
          <w:color w:val="FF0000"/>
          <w:sz w:val="30"/>
          <w:szCs w:val="30"/>
          <w:highlight w:val="none"/>
        </w:rPr>
        <w:t xml:space="preserve">    </w:t>
      </w:r>
      <w:r>
        <w:rPr>
          <w:rFonts w:hint="eastAsia" w:ascii="Times New Roman" w:hAnsi="Arial" w:eastAsia="仿宋_GB2312" w:cs="Arial"/>
          <w:color w:val="000000"/>
          <w:kern w:val="0"/>
          <w:sz w:val="32"/>
          <w:szCs w:val="32"/>
          <w:highlight w:val="none"/>
        </w:rPr>
        <w:t>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0" w:firstLineChars="200"/>
        <w:rPr>
          <w:rFonts w:ascii="仿宋" w:hAnsi="仿宋" w:eastAsia="仿宋" w:cs="仿宋"/>
          <w:color w:val="FF0000"/>
          <w:sz w:val="32"/>
          <w:szCs w:val="32"/>
          <w:highlight w:val="none"/>
        </w:rPr>
      </w:pPr>
      <w:r>
        <w:rPr>
          <w:rFonts w:hint="eastAsia" w:eastAsia="黑体"/>
          <w:sz w:val="32"/>
          <w:szCs w:val="32"/>
          <w:highlight w:val="none"/>
        </w:rPr>
        <w:t>四、</w:t>
      </w:r>
      <w:r>
        <w:rPr>
          <w:rFonts w:eastAsia="黑体"/>
          <w:sz w:val="32"/>
          <w:szCs w:val="32"/>
          <w:highlight w:val="none"/>
        </w:rPr>
        <w:t>名词解释</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（一）财政拨款收入：本年度从本级财政部门取得的财政拨款，包括一般公共预算财政拨款和政府性基金预算财政拨款。</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（二）事业收入：指事业单位开展专业业务活动及辅助活动所取得的收入。</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（三）其他收入：指除上述</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财政拨款收入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事业收入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经营收入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等以外的收入。</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（四）用事业基金弥补收支差额：指事业单位在用当年的</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财政拨款收入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财政拨款结转和结余资金</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事业收入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经营收入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其他收入</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（五）年初结转和结余：指以前年度尚未完成、结转到本年仍按原规定用途继续使用的资金，或项目已完成等产生的结余资金。</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（六）结余分配：指事业单位按照事业单位会计制度的规定从非财政补助结余中分配的事业基金和职工福利基金等。</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（七）年末结转和结余：指单位按有关规定结转到下年或以后年度继续使用的资金，或项目已完成等产生的结余资金。</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（八）基本支出：填列单位为保障机构正常运转、完成日常工作任务而发生的各项支出。</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（九）项目支出：填列单位为完成特定的行政工作任务或事业发展目标，在基本支出之外发生的各项支出</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（十二）</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三公</w:t>
      </w:r>
      <w:r>
        <w:rPr>
          <w:rFonts w:hint="eastAsia" w:ascii="Times New Roman" w:hAnsi="Times New Roman" w:eastAsia="仿宋_GB2312"/>
          <w:color w:val="000000"/>
          <w:kern w:val="0"/>
          <w:sz w:val="32"/>
          <w:szCs w:val="32"/>
          <w:highlight w:val="none"/>
        </w:rPr>
        <w:t>”</w:t>
      </w:r>
      <w:r>
        <w:rPr>
          <w:rFonts w:hint="eastAsia" w:ascii="Times New Roman" w:hAnsi="Arial" w:eastAsia="仿宋_GB2312" w:cs="Arial"/>
          <w:color w:val="000000"/>
          <w:kern w:val="0"/>
          <w:sz w:val="32"/>
          <w:szCs w:val="32"/>
          <w:highlight w:val="none"/>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（十四）公务用车购置：填列单位公务用车车辆购置支出（含车辆购置税）。</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（十五）其他交通工具购置：填列单位除公务用车外的其他各类交通工具（如船舶、飞机）购置支出（含车辆购置税）。</w:t>
      </w:r>
    </w:p>
    <w:p>
      <w:pPr>
        <w:widowControl/>
        <w:shd w:val="clear" w:color="auto" w:fill="FFFFFF"/>
        <w:spacing w:line="580" w:lineRule="exact"/>
        <w:ind w:firstLine="640" w:firstLineChars="200"/>
        <w:jc w:val="left"/>
        <w:rPr>
          <w:rFonts w:ascii="Times New Roman" w:hAnsi="Arial" w:eastAsia="方正小标宋_GBK" w:cs="Arial"/>
          <w:kern w:val="0"/>
          <w:sz w:val="44"/>
          <w:highlight w:val="none"/>
        </w:rPr>
      </w:pPr>
      <w:r>
        <w:rPr>
          <w:rFonts w:hint="eastAsia" w:ascii="Times New Roman" w:hAnsi="Arial" w:eastAsia="仿宋_GB2312" w:cs="Arial"/>
          <w:color w:val="000000"/>
          <w:kern w:val="0"/>
          <w:sz w:val="32"/>
          <w:szCs w:val="32"/>
          <w:highlight w:val="none"/>
        </w:rPr>
        <w:t>（十六）</w:t>
      </w:r>
      <w:r>
        <w:rPr>
          <w:rFonts w:hint="eastAsia" w:ascii="Times New Roman" w:hAnsi="Times New Roman" w:eastAsia="仿宋_GB2312"/>
          <w:color w:val="000000"/>
          <w:kern w:val="0"/>
          <w:sz w:val="32"/>
          <w:szCs w:val="32"/>
          <w:highlight w:val="none"/>
        </w:rPr>
        <w:t xml:space="preserve"> </w:t>
      </w:r>
      <w:r>
        <w:rPr>
          <w:rFonts w:hint="eastAsia" w:ascii="Times New Roman" w:hAnsi="Arial" w:eastAsia="仿宋_GB2312" w:cs="Arial"/>
          <w:color w:val="000000"/>
          <w:kern w:val="0"/>
          <w:sz w:val="32"/>
          <w:szCs w:val="32"/>
          <w:highlight w:val="none"/>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highlight w:val="none"/>
        </w:rPr>
      </w:pPr>
    </w:p>
    <w:bookmarkEnd w:id="0"/>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94CF6"/>
    <w:multiLevelType w:val="singleLevel"/>
    <w:tmpl w:val="5BC94CF6"/>
    <w:lvl w:ilvl="0" w:tentative="0">
      <w:start w:val="8"/>
      <w:numFmt w:val="chineseCounting"/>
      <w:suff w:val="nothing"/>
      <w:lvlText w:val="（%1）"/>
      <w:lvlJc w:val="left"/>
    </w:lvl>
  </w:abstractNum>
  <w:abstractNum w:abstractNumId="1">
    <w:nsid w:val="5BCFD4A3"/>
    <w:multiLevelType w:val="singleLevel"/>
    <w:tmpl w:val="5BCFD4A3"/>
    <w:lvl w:ilvl="0" w:tentative="0">
      <w:start w:val="4"/>
      <w:numFmt w:val="decimal"/>
      <w:suff w:val="nothing"/>
      <w:lvlText w:val="%1、"/>
      <w:lvlJc w:val="left"/>
    </w:lvl>
  </w:abstractNum>
  <w:abstractNum w:abstractNumId="2">
    <w:nsid w:val="5F6E5825"/>
    <w:multiLevelType w:val="singleLevel"/>
    <w:tmpl w:val="5F6E5825"/>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4408"/>
    <w:rsid w:val="00007CA5"/>
    <w:rsid w:val="00052DDA"/>
    <w:rsid w:val="0031600C"/>
    <w:rsid w:val="00342EF8"/>
    <w:rsid w:val="003E3881"/>
    <w:rsid w:val="005E1EBF"/>
    <w:rsid w:val="006070FE"/>
    <w:rsid w:val="00614BE8"/>
    <w:rsid w:val="006355D0"/>
    <w:rsid w:val="007275B0"/>
    <w:rsid w:val="007A076E"/>
    <w:rsid w:val="008B39A7"/>
    <w:rsid w:val="008E47B5"/>
    <w:rsid w:val="00964408"/>
    <w:rsid w:val="00A41583"/>
    <w:rsid w:val="00A72D58"/>
    <w:rsid w:val="00AB2588"/>
    <w:rsid w:val="00AC0B43"/>
    <w:rsid w:val="00AD1A9D"/>
    <w:rsid w:val="00AF7265"/>
    <w:rsid w:val="00BD2A00"/>
    <w:rsid w:val="00C24BCE"/>
    <w:rsid w:val="00C61ADD"/>
    <w:rsid w:val="00DB6621"/>
    <w:rsid w:val="05C66C58"/>
    <w:rsid w:val="09E4351A"/>
    <w:rsid w:val="0CD349E7"/>
    <w:rsid w:val="0D7061A9"/>
    <w:rsid w:val="15AF7BB3"/>
    <w:rsid w:val="16020077"/>
    <w:rsid w:val="17B9687C"/>
    <w:rsid w:val="18CC050B"/>
    <w:rsid w:val="1CEE5D75"/>
    <w:rsid w:val="1E5F1471"/>
    <w:rsid w:val="20A80407"/>
    <w:rsid w:val="23005B1B"/>
    <w:rsid w:val="297311E1"/>
    <w:rsid w:val="2D9B0FBC"/>
    <w:rsid w:val="337D46E4"/>
    <w:rsid w:val="36F9630E"/>
    <w:rsid w:val="37F15B94"/>
    <w:rsid w:val="3AD11BE1"/>
    <w:rsid w:val="3D204797"/>
    <w:rsid w:val="41405DF5"/>
    <w:rsid w:val="41901299"/>
    <w:rsid w:val="4515164F"/>
    <w:rsid w:val="454437C9"/>
    <w:rsid w:val="4B09376F"/>
    <w:rsid w:val="542723EE"/>
    <w:rsid w:val="5E3102CA"/>
    <w:rsid w:val="62187D19"/>
    <w:rsid w:val="677A62FF"/>
    <w:rsid w:val="680C3A12"/>
    <w:rsid w:val="6D5C7C02"/>
    <w:rsid w:val="6E3507A2"/>
    <w:rsid w:val="6F7310FD"/>
    <w:rsid w:val="6F823714"/>
    <w:rsid w:val="73B51C24"/>
    <w:rsid w:val="74576318"/>
    <w:rsid w:val="77E961F4"/>
    <w:rsid w:val="7FAB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742</Words>
  <Characters>4232</Characters>
  <Lines>35</Lines>
  <Paragraphs>9</Paragraphs>
  <TotalTime>52</TotalTime>
  <ScaleCrop>false</ScaleCrop>
  <LinksUpToDate>false</LinksUpToDate>
  <CharactersWithSpaces>4965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无心之言*</cp:lastModifiedBy>
  <cp:lastPrinted>2018-10-24T02:57:00Z</cp:lastPrinted>
  <dcterms:modified xsi:type="dcterms:W3CDTF">2019-01-25T03:25:25Z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